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0A11CD81"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57E2B">
        <w:t>9-e</w:t>
      </w:r>
      <w:r>
        <w:tab/>
      </w:r>
      <w:r w:rsidR="00D46431">
        <w:tab/>
      </w:r>
      <w:r w:rsidR="007C1DD8" w:rsidRPr="007C1DD8">
        <w:t>R4-2109446</w:t>
      </w:r>
    </w:p>
    <w:p w14:paraId="50DC9730" w14:textId="59A2B8DF" w:rsidR="00D309CC" w:rsidRPr="00FD166F" w:rsidRDefault="00A14D3F" w:rsidP="00D46431">
      <w:pPr>
        <w:pStyle w:val="CH"/>
        <w:tabs>
          <w:tab w:val="clear" w:pos="7920"/>
        </w:tabs>
        <w:rPr>
          <w:b w:val="0"/>
        </w:rPr>
      </w:pPr>
      <w:r>
        <w:t>Online</w:t>
      </w:r>
      <w:r w:rsidR="00EC4847" w:rsidRPr="00EC4847">
        <w:t xml:space="preserve">, </w:t>
      </w:r>
      <w:r w:rsidR="00157E2B">
        <w:t>May</w:t>
      </w:r>
      <w:r w:rsidRPr="00A14D3F">
        <w:t xml:space="preserve"> </w:t>
      </w:r>
      <w:r w:rsidR="00157E2B">
        <w:t>19 - 27</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34AB1813" w:rsidR="00D309CC" w:rsidRPr="0008103A" w:rsidRDefault="00D309CC" w:rsidP="00D309CC">
      <w:pPr>
        <w:pStyle w:val="CH"/>
        <w:rPr>
          <w:b w:val="0"/>
        </w:rPr>
      </w:pPr>
      <w:r w:rsidRPr="0008103A">
        <w:t>Agenda item:</w:t>
      </w:r>
      <w:r>
        <w:tab/>
      </w:r>
      <w:r w:rsidR="00176F50">
        <w:t>9.15.4.1</w:t>
      </w:r>
    </w:p>
    <w:p w14:paraId="4DBE005A" w14:textId="4E296536" w:rsidR="00D309CC" w:rsidRPr="0008103A" w:rsidRDefault="00D309CC" w:rsidP="00D309CC">
      <w:pPr>
        <w:pStyle w:val="CH"/>
        <w:rPr>
          <w:b w:val="0"/>
        </w:rPr>
      </w:pPr>
      <w:r>
        <w:t>Source:</w:t>
      </w:r>
      <w:r>
        <w:tab/>
        <w:t>Apple</w:t>
      </w:r>
    </w:p>
    <w:p w14:paraId="0D2061A1" w14:textId="22E8C692" w:rsidR="00D309CC" w:rsidRDefault="00D309CC" w:rsidP="00C51E29">
      <w:pPr>
        <w:pStyle w:val="CH"/>
        <w:ind w:left="2250" w:hanging="2250"/>
      </w:pPr>
      <w:r w:rsidRPr="0008103A">
        <w:t>Title:</w:t>
      </w:r>
      <w:r w:rsidRPr="0008103A">
        <w:tab/>
      </w:r>
      <w:r w:rsidR="00CB272A">
        <w:t xml:space="preserve">On </w:t>
      </w:r>
      <w:r w:rsidR="00157E2B">
        <w:t>UE RF requirements</w:t>
      </w:r>
      <w:r w:rsidR="00CB272A">
        <w:t xml:space="preserve"> for</w:t>
      </w:r>
      <w:r w:rsidR="00121103">
        <w:t xml:space="preserve"> NR in </w:t>
      </w:r>
      <w:r w:rsidR="00CB272A">
        <w:t xml:space="preserve">the 52.6 </w:t>
      </w:r>
      <w:r w:rsidR="001848CA">
        <w:t>-</w:t>
      </w:r>
      <w:r w:rsidR="00CB272A">
        <w:t xml:space="preserve"> 71 GHz frequency range</w:t>
      </w:r>
      <w:r w:rsidR="00AC0150">
        <w:t xml:space="preserve"> </w:t>
      </w:r>
    </w:p>
    <w:p w14:paraId="052B1E0C" w14:textId="3E3F24B0" w:rsidR="00104BC6" w:rsidRDefault="00104BC6" w:rsidP="00D309CC">
      <w:pPr>
        <w:pStyle w:val="CH"/>
      </w:pPr>
      <w:r>
        <w:t>WI/SI:</w:t>
      </w:r>
      <w:r>
        <w:tab/>
      </w:r>
      <w:r w:rsidR="00AC1EBB" w:rsidRPr="00AC1EBB">
        <w:t>NR_ext_to_71GHz</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49CA38B" w:rsidR="00D309CC" w:rsidRDefault="00D309CC" w:rsidP="00D309CC">
      <w:pPr>
        <w:pStyle w:val="CH"/>
      </w:pPr>
      <w:r>
        <w:t>Document for:</w:t>
      </w:r>
      <w:r>
        <w:tab/>
      </w:r>
      <w:r w:rsidR="007E5AE9">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68319CB1" w:rsidR="004768DA" w:rsidRDefault="00C51E29" w:rsidP="004768DA">
      <w:pPr>
        <w:spacing w:after="0"/>
        <w:jc w:val="both"/>
        <w:rPr>
          <w:rFonts w:ascii="Arial" w:hAnsi="Arial" w:cs="Arial"/>
        </w:rPr>
      </w:pPr>
      <w:r>
        <w:rPr>
          <w:rFonts w:ascii="Arial" w:hAnsi="Arial" w:cs="Arial"/>
        </w:rPr>
        <w:t xml:space="preserve">With the work item to </w:t>
      </w:r>
      <w:r w:rsidR="008D10CA">
        <w:rPr>
          <w:rFonts w:ascii="Arial" w:hAnsi="Arial" w:cs="Arial"/>
        </w:rPr>
        <w:t>specify</w:t>
      </w:r>
      <w:r>
        <w:rPr>
          <w:rFonts w:ascii="Arial" w:hAnsi="Arial" w:cs="Arial"/>
        </w:rPr>
        <w:t xml:space="preserve"> NR operation in the 52.6 – 71 GHz frequency range </w:t>
      </w:r>
      <w:r w:rsidR="008D10CA">
        <w:rPr>
          <w:rFonts w:ascii="Arial" w:hAnsi="Arial" w:cs="Arial"/>
        </w:rPr>
        <w:t>approved during the RAN #90 meeting</w:t>
      </w:r>
      <w:r>
        <w:rPr>
          <w:rFonts w:ascii="Arial" w:hAnsi="Arial" w:cs="Arial"/>
        </w:rPr>
        <w:t xml:space="preserve"> </w:t>
      </w:r>
      <w:r>
        <w:rPr>
          <w:rFonts w:ascii="Arial" w:hAnsi="Arial" w:cs="Arial"/>
        </w:rPr>
        <w:fldChar w:fldCharType="begin"/>
      </w:r>
      <w:r>
        <w:rPr>
          <w:rFonts w:ascii="Arial" w:hAnsi="Arial" w:cs="Arial"/>
        </w:rPr>
        <w:instrText xml:space="preserve"> REF _Ref68207325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w:t>
      </w:r>
      <w:r w:rsidR="008D10CA">
        <w:rPr>
          <w:rFonts w:ascii="Arial" w:hAnsi="Arial" w:cs="Arial"/>
        </w:rPr>
        <w:t>the effort to define UE requirements for this topic begins during this meeting in RAN4. We highlight two key considerations associated with transmitter requirements in this contribution.</w:t>
      </w:r>
    </w:p>
    <w:p w14:paraId="3426E83C" w14:textId="39EFAAE8" w:rsidR="00C51E29" w:rsidRDefault="00C51E29" w:rsidP="004768DA">
      <w:pPr>
        <w:spacing w:after="0"/>
        <w:jc w:val="both"/>
        <w:rPr>
          <w:rFonts w:ascii="Arial" w:hAnsi="Arial" w:cs="Arial"/>
        </w:rPr>
      </w:pPr>
    </w:p>
    <w:p w14:paraId="248C2C5E" w14:textId="43445DC2" w:rsidR="007B5B39" w:rsidRPr="005C5140" w:rsidRDefault="00464617" w:rsidP="005C5140">
      <w:pPr>
        <w:jc w:val="both"/>
        <w:rPr>
          <w:rFonts w:ascii="Arial" w:hAnsi="Arial" w:cs="Arial"/>
          <w:color w:val="000000" w:themeColor="text1"/>
        </w:rPr>
      </w:pPr>
      <w:r w:rsidRPr="008D10CA">
        <w:rPr>
          <w:rFonts w:ascii="Arial" w:hAnsi="Arial" w:cs="Arial"/>
        </w:rPr>
        <w:t>In OFDM networks with wide subcarrier spacing, the symbol timing becomes a challenge for</w:t>
      </w:r>
      <w:r>
        <w:rPr>
          <w:rFonts w:ascii="Arial" w:hAnsi="Arial" w:cs="Arial"/>
        </w:rPr>
        <w:t xml:space="preserve"> </w:t>
      </w:r>
      <w:r w:rsidRPr="008D10CA">
        <w:rPr>
          <w:rFonts w:ascii="Arial" w:hAnsi="Arial" w:cs="Arial"/>
        </w:rPr>
        <w:t>RF control of transmitted power</w:t>
      </w:r>
      <w:r>
        <w:rPr>
          <w:rFonts w:ascii="Arial" w:hAnsi="Arial" w:cs="Arial"/>
        </w:rPr>
        <w:t xml:space="preserve"> as well as settling times associated with switching operations, such as beam switch timing. This challenge increases in difficulty as numerology scales from 120 kHz in FR2 up to the 960 kHz option in the 52.6 – 71 GHz range. From the perspective of physical layer design, these transient constraints inform the timing relationships in the overall system. RAN1 has sent an LS on this topic in </w:t>
      </w:r>
      <w:r>
        <w:rPr>
          <w:rFonts w:ascii="Arial" w:hAnsi="Arial" w:cs="Arial"/>
        </w:rPr>
        <w:fldChar w:fldCharType="begin"/>
      </w:r>
      <w:r>
        <w:rPr>
          <w:rFonts w:ascii="Arial" w:hAnsi="Arial" w:cs="Arial"/>
        </w:rPr>
        <w:instrText xml:space="preserve"> REF _Ref68207928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and in this contribution we </w:t>
      </w:r>
      <w:r w:rsidRPr="007B5B39">
        <w:rPr>
          <w:rFonts w:ascii="Arial" w:hAnsi="Arial" w:cs="Arial"/>
          <w:color w:val="000000" w:themeColor="text1"/>
        </w:rPr>
        <w:t>provide our initial views on the related aspects.</w:t>
      </w:r>
    </w:p>
    <w:p w14:paraId="75D21CA6" w14:textId="5920A8FA" w:rsidR="007B5B39" w:rsidRPr="007B5B39" w:rsidRDefault="007B5B39" w:rsidP="007B5B39">
      <w:pPr>
        <w:rPr>
          <w:rFonts w:ascii="Arial" w:hAnsi="Arial" w:cs="Arial"/>
          <w:color w:val="000000" w:themeColor="text1"/>
          <w:lang w:val="en-US"/>
        </w:rPr>
      </w:pPr>
      <w:r w:rsidRPr="007B5B39">
        <w:rPr>
          <w:rFonts w:ascii="Arial" w:hAnsi="Arial" w:cs="Arial"/>
          <w:color w:val="000000" w:themeColor="text1"/>
          <w:lang w:val="en-US"/>
        </w:rPr>
        <w:t>At 60 GHz the voltage and current combining methods are limited due to the wavelength. To overcome this issue, combining topologies are required to achieve larger output power. In this contribution we describe in subsection 2.1 the challenges for the PA and LNA design, while given a rough estimate of the expected output power for the PA and noise figure for the LNA when considering the wideband 60 GHz operation.</w:t>
      </w:r>
    </w:p>
    <w:p w14:paraId="06E92CC7" w14:textId="1DCBDB7B" w:rsidR="008E7986" w:rsidRDefault="007B22B1" w:rsidP="00A75621">
      <w:pPr>
        <w:jc w:val="both"/>
        <w:rPr>
          <w:rFonts w:ascii="Arial" w:hAnsi="Arial" w:cs="Arial"/>
        </w:rPr>
      </w:pPr>
      <w:r>
        <w:rPr>
          <w:rFonts w:ascii="Arial" w:hAnsi="Arial" w:cs="Arial"/>
        </w:rPr>
        <w:t xml:space="preserve">Considering that the UE UL dynamic range will be </w:t>
      </w:r>
      <w:r w:rsidR="002E3933">
        <w:rPr>
          <w:rFonts w:ascii="Arial" w:hAnsi="Arial" w:cs="Arial"/>
        </w:rPr>
        <w:t xml:space="preserve">highly </w:t>
      </w:r>
      <w:r>
        <w:rPr>
          <w:rFonts w:ascii="Arial" w:hAnsi="Arial" w:cs="Arial"/>
        </w:rPr>
        <w:t xml:space="preserve">contracted </w:t>
      </w:r>
      <w:r w:rsidR="002E3933">
        <w:rPr>
          <w:rFonts w:ascii="Arial" w:hAnsi="Arial" w:cs="Arial"/>
        </w:rPr>
        <w:t xml:space="preserve">in 60GHz and above frequency ranges </w:t>
      </w:r>
      <w:r>
        <w:rPr>
          <w:rFonts w:ascii="Arial" w:hAnsi="Arial" w:cs="Arial"/>
        </w:rPr>
        <w:t>due to the</w:t>
      </w:r>
      <w:r w:rsidR="002E3933">
        <w:rPr>
          <w:rFonts w:ascii="Arial" w:hAnsi="Arial" w:cs="Arial"/>
        </w:rPr>
        <w:t xml:space="preserve"> down</w:t>
      </w:r>
      <w:r w:rsidR="008A645A">
        <w:rPr>
          <w:rFonts w:ascii="Arial" w:hAnsi="Arial" w:cs="Arial"/>
        </w:rPr>
        <w:t>ward trend</w:t>
      </w:r>
      <w:r w:rsidR="002E3933">
        <w:rPr>
          <w:rFonts w:ascii="Arial" w:hAnsi="Arial" w:cs="Arial"/>
        </w:rPr>
        <w:t xml:space="preserve"> in UE maximum output power capability and increasing free space path loss (FSPL), the possibility of NR operation without UL </w:t>
      </w:r>
      <w:r w:rsidR="005A0CAB">
        <w:rPr>
          <w:rFonts w:ascii="Arial" w:hAnsi="Arial" w:cs="Arial"/>
        </w:rPr>
        <w:t xml:space="preserve">transmit </w:t>
      </w:r>
      <w:r w:rsidR="002E3933">
        <w:rPr>
          <w:rFonts w:ascii="Arial" w:hAnsi="Arial" w:cs="Arial"/>
        </w:rPr>
        <w:t xml:space="preserve">power control </w:t>
      </w:r>
      <w:r w:rsidR="005A0CAB">
        <w:rPr>
          <w:rFonts w:ascii="Arial" w:hAnsi="Arial" w:cs="Arial"/>
        </w:rPr>
        <w:t xml:space="preserve">(TPC) </w:t>
      </w:r>
      <w:r w:rsidR="002E3933">
        <w:rPr>
          <w:rFonts w:ascii="Arial" w:hAnsi="Arial" w:cs="Arial"/>
        </w:rPr>
        <w:t xml:space="preserve">has been brought up in last RAN4 meeting </w:t>
      </w:r>
      <w:r w:rsidR="00E96D1A">
        <w:rPr>
          <w:rFonts w:ascii="Arial" w:hAnsi="Arial" w:cs="Arial"/>
        </w:rPr>
        <w:t xml:space="preserve">which may </w:t>
      </w:r>
      <w:r w:rsidR="005A0CAB">
        <w:rPr>
          <w:rFonts w:ascii="Arial" w:hAnsi="Arial" w:cs="Arial"/>
        </w:rPr>
        <w:t>assume</w:t>
      </w:r>
      <w:r w:rsidR="00E96D1A">
        <w:rPr>
          <w:rFonts w:ascii="Arial" w:hAnsi="Arial" w:cs="Arial"/>
        </w:rPr>
        <w:t xml:space="preserve"> the benefit </w:t>
      </w:r>
      <w:r w:rsidR="008C74C8">
        <w:rPr>
          <w:rFonts w:ascii="Arial" w:hAnsi="Arial" w:cs="Arial"/>
        </w:rPr>
        <w:t>for</w:t>
      </w:r>
      <w:r w:rsidR="002E3933">
        <w:rPr>
          <w:rFonts w:ascii="Arial" w:hAnsi="Arial" w:cs="Arial"/>
        </w:rPr>
        <w:t xml:space="preserve"> simplify</w:t>
      </w:r>
      <w:r w:rsidR="008C74C8">
        <w:rPr>
          <w:rFonts w:ascii="Arial" w:hAnsi="Arial" w:cs="Arial"/>
        </w:rPr>
        <w:t>ing</w:t>
      </w:r>
      <w:r w:rsidR="002E3933">
        <w:rPr>
          <w:rFonts w:ascii="Arial" w:hAnsi="Arial" w:cs="Arial"/>
        </w:rPr>
        <w:t xml:space="preserve"> the network</w:t>
      </w:r>
      <w:r w:rsidR="00E61FCF">
        <w:rPr>
          <w:rFonts w:ascii="Arial" w:hAnsi="Arial" w:cs="Arial"/>
        </w:rPr>
        <w:t xml:space="preserve"> operation </w:t>
      </w:r>
      <w:r w:rsidR="008C74C8">
        <w:rPr>
          <w:rFonts w:ascii="Arial" w:hAnsi="Arial" w:cs="Arial"/>
        </w:rPr>
        <w:t>on</w:t>
      </w:r>
      <w:r w:rsidR="00E61FCF">
        <w:rPr>
          <w:rFonts w:ascii="Arial" w:hAnsi="Arial" w:cs="Arial"/>
        </w:rPr>
        <w:t xml:space="preserve"> UL radio</w:t>
      </w:r>
      <w:r w:rsidR="002E3933">
        <w:rPr>
          <w:rFonts w:ascii="Arial" w:hAnsi="Arial" w:cs="Arial"/>
        </w:rPr>
        <w:t xml:space="preserve"> control and reduc</w:t>
      </w:r>
      <w:r w:rsidR="008C74C8">
        <w:rPr>
          <w:rFonts w:ascii="Arial" w:hAnsi="Arial" w:cs="Arial"/>
        </w:rPr>
        <w:t>ing</w:t>
      </w:r>
      <w:r w:rsidR="002E3933">
        <w:rPr>
          <w:rFonts w:ascii="Arial" w:hAnsi="Arial" w:cs="Arial"/>
        </w:rPr>
        <w:t xml:space="preserve"> UE transmitter design complexity [2]. In this contribution,</w:t>
      </w:r>
      <w:r w:rsidR="00E96D1A">
        <w:rPr>
          <w:rFonts w:ascii="Arial" w:hAnsi="Arial" w:cs="Arial"/>
        </w:rPr>
        <w:t xml:space="preserve"> we</w:t>
      </w:r>
      <w:r w:rsidR="00E61FCF">
        <w:rPr>
          <w:rFonts w:ascii="Arial" w:hAnsi="Arial" w:cs="Arial"/>
        </w:rPr>
        <w:t xml:space="preserve"> provide further analysis on the open loop power control </w:t>
      </w:r>
      <w:r w:rsidR="008C74C8">
        <w:rPr>
          <w:rFonts w:ascii="Arial" w:hAnsi="Arial" w:cs="Arial"/>
        </w:rPr>
        <w:t xml:space="preserve">and our reasoning for proposing to always set UE at maximum output power during initial access as a first step towards simplifying UL TPC for NR operation in 60GHz and above ranges. </w:t>
      </w:r>
      <w:r w:rsidR="008A645A">
        <w:rPr>
          <w:rFonts w:ascii="Arial" w:hAnsi="Arial" w:cs="Arial"/>
        </w:rPr>
        <w:t xml:space="preserve"> </w:t>
      </w:r>
      <w:r w:rsidR="00E61FCF">
        <w:rPr>
          <w:rFonts w:ascii="Arial" w:hAnsi="Arial" w:cs="Arial"/>
        </w:rPr>
        <w:t xml:space="preserve"> </w:t>
      </w:r>
      <w:r w:rsidR="00E96D1A">
        <w:rPr>
          <w:rFonts w:ascii="Arial" w:hAnsi="Arial" w:cs="Arial"/>
        </w:rPr>
        <w:t xml:space="preserve"> </w:t>
      </w:r>
      <w:r w:rsidR="002E3933">
        <w:rPr>
          <w:rFonts w:ascii="Arial" w:hAnsi="Arial" w:cs="Arial"/>
        </w:rPr>
        <w:t xml:space="preserve">      </w:t>
      </w:r>
      <w:r>
        <w:rPr>
          <w:rFonts w:ascii="Arial" w:hAnsi="Arial" w:cs="Arial"/>
        </w:rPr>
        <w:t xml:space="preserve">  </w:t>
      </w:r>
      <w:r w:rsidR="00342AC6">
        <w:rPr>
          <w:rFonts w:ascii="Arial" w:hAnsi="Arial" w:cs="Arial"/>
        </w:rPr>
        <w:t xml:space="preserve"> </w:t>
      </w:r>
      <w:r w:rsidR="00121103">
        <w:rPr>
          <w:rFonts w:ascii="Arial" w:hAnsi="Arial" w:cs="Arial"/>
        </w:rPr>
        <w:t xml:space="preserve">      </w:t>
      </w:r>
      <w:r w:rsidR="0041733B">
        <w:rPr>
          <w:rFonts w:ascii="Arial" w:hAnsi="Arial" w:cs="Arial"/>
        </w:rPr>
        <w:t xml:space="preserve">     </w:t>
      </w:r>
      <w:r w:rsidR="00AC0150">
        <w:rPr>
          <w:rFonts w:ascii="Arial" w:hAnsi="Arial" w:cs="Arial"/>
        </w:rPr>
        <w:t xml:space="preserve">    </w:t>
      </w:r>
    </w:p>
    <w:p w14:paraId="3A67921B" w14:textId="080B9ECE" w:rsidR="008E7986" w:rsidRDefault="00D463D6" w:rsidP="00B574A0">
      <w:pPr>
        <w:pStyle w:val="Heading1"/>
        <w:numPr>
          <w:ilvl w:val="0"/>
          <w:numId w:val="11"/>
        </w:numPr>
        <w:ind w:left="1138" w:hanging="1138"/>
      </w:pPr>
      <w:r>
        <w:t>Discussion</w:t>
      </w:r>
    </w:p>
    <w:p w14:paraId="365B6963" w14:textId="1FBB19A5" w:rsidR="00157E2B" w:rsidRDefault="00157E2B" w:rsidP="00157E2B">
      <w:pPr>
        <w:pStyle w:val="Heading2"/>
      </w:pPr>
      <w:r>
        <w:t>2.1</w:t>
      </w:r>
      <w:r>
        <w:tab/>
      </w:r>
      <w:r>
        <w:tab/>
        <w:t>Power class</w:t>
      </w:r>
    </w:p>
    <w:p w14:paraId="275A5775" w14:textId="30CDBDEF" w:rsidR="007B5B39" w:rsidRDefault="007B5B39" w:rsidP="007B5B39">
      <w:pPr>
        <w:rPr>
          <w:rFonts w:ascii="Arial" w:hAnsi="Arial" w:cs="Arial"/>
          <w:lang w:val="en-US"/>
        </w:rPr>
      </w:pPr>
      <w:r>
        <w:rPr>
          <w:rFonts w:ascii="Arial" w:hAnsi="Arial" w:cs="Arial"/>
        </w:rPr>
        <w:t xml:space="preserve">The frequency range for the existing </w:t>
      </w:r>
      <w:r>
        <w:rPr>
          <w:rFonts w:ascii="Arial" w:hAnsi="Arial" w:cs="Arial"/>
          <w:lang w:val="en-US"/>
        </w:rPr>
        <w:t xml:space="preserve">FR2 </w:t>
      </w:r>
      <w:r>
        <w:rPr>
          <w:rFonts w:ascii="Arial" w:hAnsi="Arial" w:cs="Arial"/>
        </w:rPr>
        <w:t xml:space="preserve">bands extends from 24.25 to 28.35 GHz for the 28 GHz band group, from 30 to 43.5 GHz for the 39 GHz band </w:t>
      </w:r>
      <w:r w:rsidR="005D0924">
        <w:rPr>
          <w:rFonts w:ascii="Arial" w:hAnsi="Arial" w:cs="Arial"/>
        </w:rPr>
        <w:t xml:space="preserve">group </w:t>
      </w:r>
      <w:r w:rsidR="005D0924">
        <w:rPr>
          <w:rFonts w:ascii="Arial" w:hAnsi="Arial" w:cs="Arial"/>
          <w:lang w:val="en-US"/>
        </w:rPr>
        <w:t xml:space="preserve">and </w:t>
      </w:r>
      <w:r>
        <w:rPr>
          <w:rFonts w:ascii="Arial" w:hAnsi="Arial" w:cs="Arial"/>
        </w:rPr>
        <w:t>newly</w:t>
      </w:r>
      <w:r>
        <w:rPr>
          <w:rFonts w:ascii="Arial" w:hAnsi="Arial" w:cs="Arial"/>
          <w:lang w:val="en-US"/>
        </w:rPr>
        <w:t>,</w:t>
      </w:r>
      <w:r>
        <w:rPr>
          <w:rFonts w:ascii="Arial" w:hAnsi="Arial" w:cs="Arial"/>
        </w:rPr>
        <w:t xml:space="preserve"> the band n262 from 47.2 to 48.2 GHz was introduced to the FR2 bands. The 60 GHz WI specifies the frequency range from 52.6 to 71 GHz, which targets to enable 18.4 GHz bandwidth.</w:t>
      </w:r>
      <w:r>
        <w:rPr>
          <w:rFonts w:ascii="Arial" w:hAnsi="Arial" w:cs="Arial"/>
          <w:lang w:val="en-US"/>
        </w:rPr>
        <w:t xml:space="preserve"> In the table below it can be seen that the 60 GHz band will require to cover approximately 30% fractional bandwidth, which is significantly higher compared to the rest of the FR2 bands. </w:t>
      </w:r>
    </w:p>
    <w:p w14:paraId="2CED348D" w14:textId="77777777" w:rsidR="009A1EA1" w:rsidRPr="005F6E26" w:rsidRDefault="009A1EA1" w:rsidP="007B5B39">
      <w:pPr>
        <w:rPr>
          <w:rFonts w:ascii="Arial" w:hAnsi="Arial" w:cs="Arial"/>
          <w:lang w:val="en-US"/>
        </w:rPr>
      </w:pPr>
    </w:p>
    <w:p w14:paraId="4FD9F34D" w14:textId="6C4547E5" w:rsidR="007B5B39" w:rsidRDefault="007B5B39" w:rsidP="007B5B39">
      <w:pPr>
        <w:rPr>
          <w:rFonts w:ascii="Arial" w:hAnsi="Arial" w:cs="Arial"/>
        </w:rPr>
      </w:pPr>
    </w:p>
    <w:p w14:paraId="38E41580" w14:textId="77777777" w:rsidR="005C5140" w:rsidRDefault="005C5140" w:rsidP="007B5B39">
      <w:pPr>
        <w:rPr>
          <w:rFonts w:ascii="Arial" w:hAnsi="Arial" w:cs="Arial"/>
        </w:rPr>
      </w:pPr>
    </w:p>
    <w:tbl>
      <w:tblPr>
        <w:tblW w:w="8132" w:type="dxa"/>
        <w:jc w:val="center"/>
        <w:tblLook w:val="04A0" w:firstRow="1" w:lastRow="0" w:firstColumn="1" w:lastColumn="0" w:noHBand="0" w:noVBand="1"/>
      </w:tblPr>
      <w:tblGrid>
        <w:gridCol w:w="1726"/>
        <w:gridCol w:w="1206"/>
        <w:gridCol w:w="367"/>
        <w:gridCol w:w="1216"/>
        <w:gridCol w:w="1668"/>
        <w:gridCol w:w="1668"/>
        <w:gridCol w:w="281"/>
      </w:tblGrid>
      <w:tr w:rsidR="007B5B39" w14:paraId="72CA63C5" w14:textId="77777777" w:rsidTr="00253E22">
        <w:trPr>
          <w:gridAfter w:val="1"/>
          <w:wAfter w:w="281" w:type="dxa"/>
          <w:trHeight w:val="424"/>
          <w:jc w:val="center"/>
        </w:trPr>
        <w:tc>
          <w:tcPr>
            <w:tcW w:w="1726" w:type="dxa"/>
            <w:vMerge w:val="restart"/>
            <w:tcBorders>
              <w:top w:val="single" w:sz="8" w:space="0" w:color="auto"/>
              <w:left w:val="single" w:sz="8" w:space="0" w:color="auto"/>
              <w:bottom w:val="single" w:sz="4" w:space="0" w:color="000000"/>
              <w:right w:val="single" w:sz="8" w:space="0" w:color="auto"/>
            </w:tcBorders>
            <w:shd w:val="clear" w:color="000000" w:fill="5B9BD5"/>
            <w:vAlign w:val="center"/>
            <w:hideMark/>
          </w:tcPr>
          <w:p w14:paraId="7757BBF8" w14:textId="77777777" w:rsidR="007B5B39" w:rsidRPr="00253E22" w:rsidRDefault="007B5B39" w:rsidP="00253E22">
            <w:pPr>
              <w:jc w:val="center"/>
              <w:rPr>
                <w:rFonts w:ascii="Arial" w:hAnsi="Arial" w:cs="Arial"/>
                <w:b/>
                <w:bCs/>
                <w:color w:val="000000"/>
              </w:rPr>
            </w:pPr>
            <w:r w:rsidRPr="00253E22">
              <w:rPr>
                <w:rFonts w:ascii="Arial" w:hAnsi="Arial" w:cs="Arial"/>
                <w:b/>
                <w:bCs/>
                <w:color w:val="000000"/>
              </w:rPr>
              <w:lastRenderedPageBreak/>
              <w:t>NR band</w:t>
            </w:r>
          </w:p>
        </w:tc>
        <w:tc>
          <w:tcPr>
            <w:tcW w:w="2789" w:type="dxa"/>
            <w:gridSpan w:val="3"/>
            <w:vMerge w:val="restart"/>
            <w:tcBorders>
              <w:top w:val="single" w:sz="8" w:space="0" w:color="auto"/>
              <w:left w:val="single" w:sz="8" w:space="0" w:color="auto"/>
              <w:bottom w:val="single" w:sz="4" w:space="0" w:color="000000"/>
              <w:right w:val="single" w:sz="8" w:space="0" w:color="000000"/>
            </w:tcBorders>
            <w:shd w:val="clear" w:color="000000" w:fill="5B9BD5"/>
            <w:noWrap/>
            <w:vAlign w:val="center"/>
            <w:hideMark/>
          </w:tcPr>
          <w:p w14:paraId="7BD3019E" w14:textId="77777777" w:rsidR="007B5B39" w:rsidRPr="00253E22" w:rsidRDefault="007B5B39" w:rsidP="00253E22">
            <w:pPr>
              <w:jc w:val="center"/>
              <w:rPr>
                <w:rFonts w:ascii="Arial" w:hAnsi="Arial" w:cs="Arial"/>
                <w:b/>
                <w:bCs/>
                <w:color w:val="000000"/>
              </w:rPr>
            </w:pPr>
            <w:r w:rsidRPr="00253E22">
              <w:rPr>
                <w:rFonts w:ascii="Arial" w:hAnsi="Arial" w:cs="Arial"/>
                <w:b/>
                <w:bCs/>
                <w:color w:val="000000"/>
                <w:lang w:val="en-US"/>
              </w:rPr>
              <w:t>Frequency Range</w:t>
            </w:r>
            <w:r w:rsidRPr="00253E22">
              <w:rPr>
                <w:rFonts w:ascii="Arial" w:hAnsi="Arial" w:cs="Arial"/>
                <w:b/>
                <w:bCs/>
                <w:color w:val="000000"/>
              </w:rPr>
              <w:t xml:space="preserve"> (MHz)</w:t>
            </w:r>
          </w:p>
        </w:tc>
        <w:tc>
          <w:tcPr>
            <w:tcW w:w="1668" w:type="dxa"/>
            <w:vMerge w:val="restart"/>
            <w:tcBorders>
              <w:top w:val="single" w:sz="8" w:space="0" w:color="auto"/>
              <w:left w:val="single" w:sz="8" w:space="0" w:color="auto"/>
              <w:bottom w:val="single" w:sz="4" w:space="0" w:color="000000"/>
              <w:right w:val="single" w:sz="8" w:space="0" w:color="auto"/>
            </w:tcBorders>
            <w:shd w:val="clear" w:color="000000" w:fill="5B9BD5"/>
            <w:vAlign w:val="bottom"/>
            <w:hideMark/>
          </w:tcPr>
          <w:p w14:paraId="68F1F339" w14:textId="77777777" w:rsidR="007B5B39" w:rsidRPr="00253E22" w:rsidRDefault="007B5B39" w:rsidP="00253E22">
            <w:pPr>
              <w:jc w:val="center"/>
              <w:rPr>
                <w:rFonts w:ascii="Arial" w:hAnsi="Arial" w:cs="Arial"/>
                <w:b/>
                <w:bCs/>
                <w:color w:val="000000"/>
              </w:rPr>
            </w:pPr>
            <w:r w:rsidRPr="00253E22">
              <w:rPr>
                <w:rFonts w:ascii="Arial" w:hAnsi="Arial" w:cs="Arial"/>
                <w:b/>
                <w:bCs/>
                <w:color w:val="000000"/>
              </w:rPr>
              <w:t>Bandwidth (MHz)</w:t>
            </w:r>
          </w:p>
        </w:tc>
        <w:tc>
          <w:tcPr>
            <w:tcW w:w="1668" w:type="dxa"/>
            <w:vMerge w:val="restart"/>
            <w:tcBorders>
              <w:top w:val="single" w:sz="8" w:space="0" w:color="auto"/>
              <w:left w:val="single" w:sz="8" w:space="0" w:color="auto"/>
              <w:bottom w:val="single" w:sz="4" w:space="0" w:color="auto"/>
              <w:right w:val="single" w:sz="8" w:space="0" w:color="auto"/>
            </w:tcBorders>
            <w:shd w:val="clear" w:color="000000" w:fill="5B9BD5"/>
            <w:vAlign w:val="bottom"/>
            <w:hideMark/>
          </w:tcPr>
          <w:p w14:paraId="250CB00B" w14:textId="77777777" w:rsidR="007B5B39" w:rsidRPr="00253E22" w:rsidRDefault="007B5B39" w:rsidP="00253E22">
            <w:pPr>
              <w:jc w:val="center"/>
              <w:rPr>
                <w:rFonts w:ascii="Arial" w:hAnsi="Arial" w:cs="Arial"/>
                <w:b/>
                <w:bCs/>
                <w:color w:val="000000"/>
              </w:rPr>
            </w:pPr>
            <w:r w:rsidRPr="00253E22">
              <w:rPr>
                <w:rFonts w:ascii="Arial" w:hAnsi="Arial" w:cs="Arial"/>
                <w:b/>
                <w:bCs/>
                <w:color w:val="000000"/>
                <w:lang w:val="en-US"/>
              </w:rPr>
              <w:t xml:space="preserve">Fractional </w:t>
            </w:r>
            <w:r w:rsidRPr="00253E22">
              <w:rPr>
                <w:rFonts w:ascii="Arial" w:hAnsi="Arial" w:cs="Arial"/>
                <w:b/>
                <w:bCs/>
                <w:color w:val="000000"/>
              </w:rPr>
              <w:t>Bandwidth (%)</w:t>
            </w:r>
          </w:p>
        </w:tc>
      </w:tr>
      <w:tr w:rsidR="007B5B39" w14:paraId="1D37D2A6" w14:textId="77777777" w:rsidTr="00253E22">
        <w:trPr>
          <w:trHeight w:val="44"/>
          <w:jc w:val="center"/>
        </w:trPr>
        <w:tc>
          <w:tcPr>
            <w:tcW w:w="1726" w:type="dxa"/>
            <w:vMerge/>
            <w:tcBorders>
              <w:top w:val="single" w:sz="8" w:space="0" w:color="auto"/>
              <w:left w:val="single" w:sz="8" w:space="0" w:color="auto"/>
              <w:bottom w:val="single" w:sz="4" w:space="0" w:color="000000"/>
              <w:right w:val="single" w:sz="8" w:space="0" w:color="auto"/>
            </w:tcBorders>
            <w:vAlign w:val="center"/>
            <w:hideMark/>
          </w:tcPr>
          <w:p w14:paraId="59626B3C" w14:textId="77777777" w:rsidR="007B5B39" w:rsidRPr="00253E22" w:rsidRDefault="007B5B39" w:rsidP="007C2E2B">
            <w:pPr>
              <w:rPr>
                <w:rFonts w:ascii="Arial" w:hAnsi="Arial" w:cs="Arial"/>
                <w:b/>
                <w:bCs/>
                <w:color w:val="000000"/>
              </w:rPr>
            </w:pPr>
          </w:p>
        </w:tc>
        <w:tc>
          <w:tcPr>
            <w:tcW w:w="2789" w:type="dxa"/>
            <w:gridSpan w:val="3"/>
            <w:vMerge/>
            <w:tcBorders>
              <w:top w:val="single" w:sz="8" w:space="0" w:color="auto"/>
              <w:left w:val="single" w:sz="8" w:space="0" w:color="auto"/>
              <w:bottom w:val="single" w:sz="4" w:space="0" w:color="000000"/>
              <w:right w:val="single" w:sz="8" w:space="0" w:color="000000"/>
            </w:tcBorders>
            <w:vAlign w:val="center"/>
            <w:hideMark/>
          </w:tcPr>
          <w:p w14:paraId="2FB8C194" w14:textId="77777777" w:rsidR="007B5B39" w:rsidRPr="00253E22" w:rsidRDefault="007B5B39" w:rsidP="007C2E2B">
            <w:pPr>
              <w:rPr>
                <w:rFonts w:ascii="Arial" w:hAnsi="Arial" w:cs="Arial"/>
                <w:b/>
                <w:bCs/>
                <w:color w:val="000000"/>
              </w:rPr>
            </w:pPr>
          </w:p>
        </w:tc>
        <w:tc>
          <w:tcPr>
            <w:tcW w:w="1668" w:type="dxa"/>
            <w:vMerge/>
            <w:tcBorders>
              <w:top w:val="single" w:sz="8" w:space="0" w:color="auto"/>
              <w:left w:val="single" w:sz="8" w:space="0" w:color="auto"/>
              <w:bottom w:val="single" w:sz="4" w:space="0" w:color="000000"/>
              <w:right w:val="single" w:sz="8" w:space="0" w:color="auto"/>
            </w:tcBorders>
            <w:vAlign w:val="center"/>
            <w:hideMark/>
          </w:tcPr>
          <w:p w14:paraId="5DE70A01" w14:textId="77777777" w:rsidR="007B5B39" w:rsidRPr="00253E22" w:rsidRDefault="007B5B39" w:rsidP="007C2E2B">
            <w:pPr>
              <w:rPr>
                <w:rFonts w:ascii="Arial" w:hAnsi="Arial" w:cs="Arial"/>
                <w:b/>
                <w:bCs/>
                <w:color w:val="000000"/>
              </w:rPr>
            </w:pPr>
          </w:p>
        </w:tc>
        <w:tc>
          <w:tcPr>
            <w:tcW w:w="1668" w:type="dxa"/>
            <w:vMerge/>
            <w:tcBorders>
              <w:top w:val="single" w:sz="8" w:space="0" w:color="auto"/>
              <w:left w:val="single" w:sz="8" w:space="0" w:color="auto"/>
              <w:bottom w:val="single" w:sz="4" w:space="0" w:color="auto"/>
              <w:right w:val="single" w:sz="8" w:space="0" w:color="auto"/>
            </w:tcBorders>
            <w:vAlign w:val="center"/>
            <w:hideMark/>
          </w:tcPr>
          <w:p w14:paraId="0377ADE5" w14:textId="77777777" w:rsidR="007B5B39" w:rsidRPr="00253E22" w:rsidRDefault="007B5B39" w:rsidP="007C2E2B">
            <w:pPr>
              <w:rPr>
                <w:rFonts w:ascii="Arial" w:hAnsi="Arial" w:cs="Arial"/>
                <w:b/>
                <w:bCs/>
                <w:color w:val="000000"/>
              </w:rPr>
            </w:pPr>
          </w:p>
        </w:tc>
        <w:tc>
          <w:tcPr>
            <w:tcW w:w="281" w:type="dxa"/>
            <w:tcBorders>
              <w:top w:val="nil"/>
              <w:left w:val="nil"/>
              <w:bottom w:val="nil"/>
              <w:right w:val="nil"/>
            </w:tcBorders>
            <w:shd w:val="clear" w:color="auto" w:fill="auto"/>
            <w:noWrap/>
            <w:vAlign w:val="bottom"/>
            <w:hideMark/>
          </w:tcPr>
          <w:p w14:paraId="2156E264" w14:textId="77777777" w:rsidR="007B5B39" w:rsidRDefault="007B5B39" w:rsidP="007C2E2B">
            <w:pPr>
              <w:jc w:val="center"/>
              <w:rPr>
                <w:rFonts w:ascii="Calibri" w:hAnsi="Calibri" w:cs="Calibri"/>
                <w:b/>
                <w:bCs/>
                <w:color w:val="000000"/>
              </w:rPr>
            </w:pPr>
          </w:p>
        </w:tc>
      </w:tr>
      <w:tr w:rsidR="007B5B39" w14:paraId="20D62D07" w14:textId="77777777" w:rsidTr="00253E22">
        <w:trPr>
          <w:trHeight w:val="130"/>
          <w:jc w:val="center"/>
        </w:trPr>
        <w:tc>
          <w:tcPr>
            <w:tcW w:w="1726" w:type="dxa"/>
            <w:tcBorders>
              <w:top w:val="nil"/>
              <w:left w:val="single" w:sz="8" w:space="0" w:color="auto"/>
              <w:bottom w:val="single" w:sz="4" w:space="0" w:color="auto"/>
              <w:right w:val="single" w:sz="8" w:space="0" w:color="auto"/>
            </w:tcBorders>
            <w:shd w:val="clear" w:color="auto" w:fill="auto"/>
            <w:noWrap/>
            <w:vAlign w:val="center"/>
            <w:hideMark/>
          </w:tcPr>
          <w:p w14:paraId="0198E640" w14:textId="77777777" w:rsidR="007B5B39" w:rsidRPr="00253E22" w:rsidRDefault="007B5B39" w:rsidP="007C2E2B">
            <w:pPr>
              <w:jc w:val="center"/>
              <w:rPr>
                <w:rFonts w:ascii="Arial" w:hAnsi="Arial" w:cs="Arial"/>
                <w:color w:val="000000"/>
              </w:rPr>
            </w:pPr>
            <w:r w:rsidRPr="00253E22">
              <w:rPr>
                <w:rFonts w:ascii="Arial" w:hAnsi="Arial" w:cs="Arial"/>
                <w:color w:val="000000"/>
              </w:rPr>
              <w:t>n257</w:t>
            </w:r>
          </w:p>
        </w:tc>
        <w:tc>
          <w:tcPr>
            <w:tcW w:w="1206" w:type="dxa"/>
            <w:tcBorders>
              <w:top w:val="nil"/>
              <w:left w:val="nil"/>
              <w:bottom w:val="single" w:sz="4" w:space="0" w:color="auto"/>
              <w:right w:val="single" w:sz="4" w:space="0" w:color="auto"/>
            </w:tcBorders>
            <w:shd w:val="clear" w:color="auto" w:fill="auto"/>
            <w:noWrap/>
            <w:vAlign w:val="center"/>
            <w:hideMark/>
          </w:tcPr>
          <w:p w14:paraId="61C5E4B6" w14:textId="77777777" w:rsidR="007B5B39" w:rsidRPr="00253E22" w:rsidRDefault="007B5B39" w:rsidP="007C2E2B">
            <w:pPr>
              <w:jc w:val="center"/>
              <w:rPr>
                <w:rFonts w:ascii="Arial" w:hAnsi="Arial" w:cs="Arial"/>
                <w:color w:val="000000"/>
              </w:rPr>
            </w:pPr>
            <w:r w:rsidRPr="00253E22">
              <w:rPr>
                <w:rFonts w:ascii="Arial" w:hAnsi="Arial" w:cs="Arial"/>
                <w:color w:val="000000"/>
              </w:rPr>
              <w:t>26500</w:t>
            </w:r>
          </w:p>
        </w:tc>
        <w:tc>
          <w:tcPr>
            <w:tcW w:w="367" w:type="dxa"/>
            <w:tcBorders>
              <w:top w:val="nil"/>
              <w:left w:val="nil"/>
              <w:bottom w:val="single" w:sz="4" w:space="0" w:color="auto"/>
              <w:right w:val="single" w:sz="4" w:space="0" w:color="auto"/>
            </w:tcBorders>
            <w:shd w:val="clear" w:color="auto" w:fill="auto"/>
            <w:noWrap/>
            <w:vAlign w:val="center"/>
            <w:hideMark/>
          </w:tcPr>
          <w:p w14:paraId="7FE4148C" w14:textId="77777777" w:rsidR="007B5B39" w:rsidRPr="00253E22" w:rsidRDefault="007B5B39" w:rsidP="007C2E2B">
            <w:pPr>
              <w:jc w:val="center"/>
              <w:rPr>
                <w:rFonts w:ascii="Arial" w:hAnsi="Arial" w:cs="Arial"/>
                <w:color w:val="000000"/>
              </w:rPr>
            </w:pPr>
            <w:r w:rsidRPr="00253E22">
              <w:rPr>
                <w:rFonts w:ascii="Arial" w:hAnsi="Arial" w:cs="Arial"/>
                <w:color w:val="000000"/>
              </w:rPr>
              <w:t>-</w:t>
            </w:r>
          </w:p>
        </w:tc>
        <w:tc>
          <w:tcPr>
            <w:tcW w:w="1215" w:type="dxa"/>
            <w:tcBorders>
              <w:top w:val="nil"/>
              <w:left w:val="nil"/>
              <w:bottom w:val="single" w:sz="4" w:space="0" w:color="auto"/>
              <w:right w:val="nil"/>
            </w:tcBorders>
            <w:shd w:val="clear" w:color="auto" w:fill="auto"/>
            <w:noWrap/>
            <w:vAlign w:val="center"/>
            <w:hideMark/>
          </w:tcPr>
          <w:p w14:paraId="6BF542E1" w14:textId="77777777" w:rsidR="007B5B39" w:rsidRPr="00253E22" w:rsidRDefault="007B5B39" w:rsidP="007C2E2B">
            <w:pPr>
              <w:jc w:val="center"/>
              <w:rPr>
                <w:rFonts w:ascii="Arial" w:hAnsi="Arial" w:cs="Arial"/>
                <w:color w:val="000000"/>
              </w:rPr>
            </w:pPr>
            <w:r w:rsidRPr="00253E22">
              <w:rPr>
                <w:rFonts w:ascii="Arial" w:hAnsi="Arial" w:cs="Arial"/>
                <w:color w:val="000000"/>
              </w:rPr>
              <w:t>29500</w:t>
            </w:r>
          </w:p>
        </w:tc>
        <w:tc>
          <w:tcPr>
            <w:tcW w:w="1668" w:type="dxa"/>
            <w:tcBorders>
              <w:top w:val="nil"/>
              <w:left w:val="single" w:sz="8" w:space="0" w:color="auto"/>
              <w:bottom w:val="single" w:sz="4" w:space="0" w:color="auto"/>
              <w:right w:val="nil"/>
            </w:tcBorders>
            <w:shd w:val="clear" w:color="auto" w:fill="auto"/>
            <w:noWrap/>
            <w:vAlign w:val="center"/>
            <w:hideMark/>
          </w:tcPr>
          <w:p w14:paraId="3B13B40A" w14:textId="77777777" w:rsidR="007B5B39" w:rsidRPr="00253E22" w:rsidRDefault="007B5B39" w:rsidP="007C2E2B">
            <w:pPr>
              <w:jc w:val="center"/>
              <w:rPr>
                <w:rFonts w:ascii="Arial" w:hAnsi="Arial" w:cs="Arial"/>
                <w:color w:val="000000"/>
              </w:rPr>
            </w:pPr>
            <w:r w:rsidRPr="00253E22">
              <w:rPr>
                <w:rFonts w:ascii="Arial" w:hAnsi="Arial" w:cs="Arial"/>
                <w:color w:val="000000"/>
              </w:rPr>
              <w:t>3000</w:t>
            </w:r>
          </w:p>
        </w:tc>
        <w:tc>
          <w:tcPr>
            <w:tcW w:w="166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DEEB8AC" w14:textId="77777777" w:rsidR="007B5B39" w:rsidRPr="00253E22" w:rsidRDefault="007B5B39" w:rsidP="007C2E2B">
            <w:pPr>
              <w:jc w:val="center"/>
              <w:rPr>
                <w:rFonts w:ascii="Arial" w:hAnsi="Arial" w:cs="Arial"/>
                <w:color w:val="000000"/>
                <w:lang w:val="en-US"/>
              </w:rPr>
            </w:pPr>
            <w:r w:rsidRPr="00253E22">
              <w:rPr>
                <w:rFonts w:ascii="Arial" w:hAnsi="Arial" w:cs="Arial"/>
                <w:color w:val="000000"/>
              </w:rPr>
              <w:t>1</w:t>
            </w:r>
            <w:r w:rsidRPr="00253E22">
              <w:rPr>
                <w:rFonts w:ascii="Arial" w:hAnsi="Arial" w:cs="Arial"/>
                <w:color w:val="000000"/>
                <w:lang w:val="en-US"/>
              </w:rPr>
              <w:t>0.7</w:t>
            </w:r>
          </w:p>
        </w:tc>
        <w:tc>
          <w:tcPr>
            <w:tcW w:w="281" w:type="dxa"/>
            <w:tcBorders>
              <w:left w:val="single" w:sz="4" w:space="0" w:color="auto"/>
            </w:tcBorders>
            <w:vAlign w:val="center"/>
            <w:hideMark/>
          </w:tcPr>
          <w:p w14:paraId="4A2FA4E8" w14:textId="77777777" w:rsidR="007B5B39" w:rsidRDefault="007B5B39" w:rsidP="007C2E2B"/>
        </w:tc>
      </w:tr>
      <w:tr w:rsidR="007B5B39" w14:paraId="042467AC" w14:textId="77777777" w:rsidTr="00253E22">
        <w:trPr>
          <w:trHeight w:val="130"/>
          <w:jc w:val="center"/>
        </w:trPr>
        <w:tc>
          <w:tcPr>
            <w:tcW w:w="1726" w:type="dxa"/>
            <w:tcBorders>
              <w:top w:val="nil"/>
              <w:left w:val="single" w:sz="8" w:space="0" w:color="auto"/>
              <w:bottom w:val="single" w:sz="4" w:space="0" w:color="auto"/>
              <w:right w:val="single" w:sz="8" w:space="0" w:color="auto"/>
            </w:tcBorders>
            <w:shd w:val="clear" w:color="auto" w:fill="auto"/>
            <w:noWrap/>
            <w:vAlign w:val="center"/>
            <w:hideMark/>
          </w:tcPr>
          <w:p w14:paraId="538A29BA" w14:textId="77777777" w:rsidR="007B5B39" w:rsidRPr="00253E22" w:rsidRDefault="007B5B39" w:rsidP="007C2E2B">
            <w:pPr>
              <w:jc w:val="center"/>
              <w:rPr>
                <w:rFonts w:ascii="Arial" w:hAnsi="Arial" w:cs="Arial"/>
                <w:color w:val="000000"/>
              </w:rPr>
            </w:pPr>
            <w:r w:rsidRPr="00253E22">
              <w:rPr>
                <w:rFonts w:ascii="Arial" w:hAnsi="Arial" w:cs="Arial"/>
                <w:color w:val="000000"/>
              </w:rPr>
              <w:t>n258</w:t>
            </w:r>
          </w:p>
        </w:tc>
        <w:tc>
          <w:tcPr>
            <w:tcW w:w="1206" w:type="dxa"/>
            <w:tcBorders>
              <w:top w:val="nil"/>
              <w:left w:val="nil"/>
              <w:bottom w:val="single" w:sz="4" w:space="0" w:color="auto"/>
              <w:right w:val="single" w:sz="4" w:space="0" w:color="auto"/>
            </w:tcBorders>
            <w:shd w:val="clear" w:color="auto" w:fill="auto"/>
            <w:noWrap/>
            <w:vAlign w:val="center"/>
            <w:hideMark/>
          </w:tcPr>
          <w:p w14:paraId="766FA9A5" w14:textId="77777777" w:rsidR="007B5B39" w:rsidRPr="00253E22" w:rsidRDefault="007B5B39" w:rsidP="007C2E2B">
            <w:pPr>
              <w:jc w:val="center"/>
              <w:rPr>
                <w:rFonts w:ascii="Arial" w:hAnsi="Arial" w:cs="Arial"/>
                <w:color w:val="000000"/>
              </w:rPr>
            </w:pPr>
            <w:r w:rsidRPr="00253E22">
              <w:rPr>
                <w:rFonts w:ascii="Arial" w:hAnsi="Arial" w:cs="Arial"/>
                <w:color w:val="000000"/>
              </w:rPr>
              <w:t>24250</w:t>
            </w:r>
          </w:p>
        </w:tc>
        <w:tc>
          <w:tcPr>
            <w:tcW w:w="367" w:type="dxa"/>
            <w:tcBorders>
              <w:top w:val="nil"/>
              <w:left w:val="nil"/>
              <w:bottom w:val="single" w:sz="4" w:space="0" w:color="auto"/>
              <w:right w:val="single" w:sz="4" w:space="0" w:color="auto"/>
            </w:tcBorders>
            <w:shd w:val="clear" w:color="auto" w:fill="auto"/>
            <w:noWrap/>
            <w:vAlign w:val="center"/>
            <w:hideMark/>
          </w:tcPr>
          <w:p w14:paraId="34CC206B" w14:textId="77777777" w:rsidR="007B5B39" w:rsidRPr="00253E22" w:rsidRDefault="007B5B39" w:rsidP="007C2E2B">
            <w:pPr>
              <w:jc w:val="center"/>
              <w:rPr>
                <w:rFonts w:ascii="Arial" w:hAnsi="Arial" w:cs="Arial"/>
                <w:color w:val="000000"/>
              </w:rPr>
            </w:pPr>
            <w:r w:rsidRPr="00253E22">
              <w:rPr>
                <w:rFonts w:ascii="Arial" w:hAnsi="Arial" w:cs="Arial"/>
                <w:color w:val="000000"/>
              </w:rPr>
              <w:t>-</w:t>
            </w:r>
          </w:p>
        </w:tc>
        <w:tc>
          <w:tcPr>
            <w:tcW w:w="1215" w:type="dxa"/>
            <w:tcBorders>
              <w:top w:val="nil"/>
              <w:left w:val="nil"/>
              <w:bottom w:val="single" w:sz="4" w:space="0" w:color="auto"/>
              <w:right w:val="nil"/>
            </w:tcBorders>
            <w:shd w:val="clear" w:color="auto" w:fill="auto"/>
            <w:noWrap/>
            <w:vAlign w:val="center"/>
            <w:hideMark/>
          </w:tcPr>
          <w:p w14:paraId="16047DEB" w14:textId="77777777" w:rsidR="007B5B39" w:rsidRPr="00253E22" w:rsidRDefault="007B5B39" w:rsidP="007C2E2B">
            <w:pPr>
              <w:jc w:val="center"/>
              <w:rPr>
                <w:rFonts w:ascii="Arial" w:hAnsi="Arial" w:cs="Arial"/>
                <w:color w:val="000000"/>
              </w:rPr>
            </w:pPr>
            <w:r w:rsidRPr="00253E22">
              <w:rPr>
                <w:rFonts w:ascii="Arial" w:hAnsi="Arial" w:cs="Arial"/>
                <w:color w:val="000000"/>
              </w:rPr>
              <w:t>27500</w:t>
            </w:r>
          </w:p>
        </w:tc>
        <w:tc>
          <w:tcPr>
            <w:tcW w:w="1668" w:type="dxa"/>
            <w:tcBorders>
              <w:top w:val="nil"/>
              <w:left w:val="single" w:sz="8" w:space="0" w:color="auto"/>
              <w:bottom w:val="single" w:sz="4" w:space="0" w:color="auto"/>
              <w:right w:val="nil"/>
            </w:tcBorders>
            <w:shd w:val="clear" w:color="auto" w:fill="auto"/>
            <w:noWrap/>
            <w:vAlign w:val="center"/>
            <w:hideMark/>
          </w:tcPr>
          <w:p w14:paraId="455F5A11" w14:textId="77777777" w:rsidR="007B5B39" w:rsidRPr="00253E22" w:rsidRDefault="007B5B39" w:rsidP="007C2E2B">
            <w:pPr>
              <w:jc w:val="center"/>
              <w:rPr>
                <w:rFonts w:ascii="Arial" w:hAnsi="Arial" w:cs="Arial"/>
                <w:color w:val="000000"/>
              </w:rPr>
            </w:pPr>
            <w:r w:rsidRPr="00253E22">
              <w:rPr>
                <w:rFonts w:ascii="Arial" w:hAnsi="Arial" w:cs="Arial"/>
                <w:color w:val="000000"/>
              </w:rPr>
              <w:t>3250</w:t>
            </w:r>
          </w:p>
        </w:tc>
        <w:tc>
          <w:tcPr>
            <w:tcW w:w="166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60F12C4" w14:textId="77777777" w:rsidR="007B5B39" w:rsidRPr="00253E22" w:rsidRDefault="007B5B39" w:rsidP="007C2E2B">
            <w:pPr>
              <w:jc w:val="center"/>
              <w:rPr>
                <w:rFonts w:ascii="Arial" w:hAnsi="Arial" w:cs="Arial"/>
                <w:color w:val="000000"/>
                <w:lang w:val="en-US"/>
              </w:rPr>
            </w:pPr>
            <w:r w:rsidRPr="00253E22">
              <w:rPr>
                <w:rFonts w:ascii="Arial" w:hAnsi="Arial" w:cs="Arial"/>
                <w:color w:val="000000"/>
              </w:rPr>
              <w:t>1</w:t>
            </w:r>
            <w:r w:rsidRPr="00253E22">
              <w:rPr>
                <w:rFonts w:ascii="Arial" w:hAnsi="Arial" w:cs="Arial"/>
                <w:color w:val="000000"/>
                <w:lang w:val="en-US"/>
              </w:rPr>
              <w:t>2.6</w:t>
            </w:r>
          </w:p>
        </w:tc>
        <w:tc>
          <w:tcPr>
            <w:tcW w:w="281" w:type="dxa"/>
            <w:tcBorders>
              <w:left w:val="single" w:sz="4" w:space="0" w:color="auto"/>
            </w:tcBorders>
            <w:vAlign w:val="center"/>
            <w:hideMark/>
          </w:tcPr>
          <w:p w14:paraId="3B4FEC2E" w14:textId="77777777" w:rsidR="007B5B39" w:rsidRDefault="007B5B39" w:rsidP="007C2E2B"/>
        </w:tc>
      </w:tr>
      <w:tr w:rsidR="007B5B39" w14:paraId="5F826DD4" w14:textId="77777777" w:rsidTr="00253E22">
        <w:trPr>
          <w:trHeight w:val="130"/>
          <w:jc w:val="center"/>
        </w:trPr>
        <w:tc>
          <w:tcPr>
            <w:tcW w:w="1726" w:type="dxa"/>
            <w:tcBorders>
              <w:top w:val="nil"/>
              <w:left w:val="single" w:sz="8" w:space="0" w:color="auto"/>
              <w:bottom w:val="single" w:sz="4" w:space="0" w:color="auto"/>
              <w:right w:val="single" w:sz="8" w:space="0" w:color="auto"/>
            </w:tcBorders>
            <w:shd w:val="clear" w:color="auto" w:fill="auto"/>
            <w:noWrap/>
            <w:vAlign w:val="center"/>
            <w:hideMark/>
          </w:tcPr>
          <w:p w14:paraId="03A9E57D" w14:textId="77777777" w:rsidR="007B5B39" w:rsidRPr="00253E22" w:rsidRDefault="007B5B39" w:rsidP="007C2E2B">
            <w:pPr>
              <w:jc w:val="center"/>
              <w:rPr>
                <w:rFonts w:ascii="Arial" w:hAnsi="Arial" w:cs="Arial"/>
                <w:color w:val="000000"/>
              </w:rPr>
            </w:pPr>
            <w:r w:rsidRPr="00253E22">
              <w:rPr>
                <w:rFonts w:ascii="Arial" w:hAnsi="Arial" w:cs="Arial"/>
                <w:color w:val="000000"/>
              </w:rPr>
              <w:t>n259</w:t>
            </w:r>
          </w:p>
        </w:tc>
        <w:tc>
          <w:tcPr>
            <w:tcW w:w="1206" w:type="dxa"/>
            <w:tcBorders>
              <w:top w:val="nil"/>
              <w:left w:val="nil"/>
              <w:bottom w:val="single" w:sz="4" w:space="0" w:color="auto"/>
              <w:right w:val="single" w:sz="4" w:space="0" w:color="auto"/>
            </w:tcBorders>
            <w:shd w:val="clear" w:color="auto" w:fill="auto"/>
            <w:noWrap/>
            <w:vAlign w:val="center"/>
            <w:hideMark/>
          </w:tcPr>
          <w:p w14:paraId="27D5A223" w14:textId="77777777" w:rsidR="007B5B39" w:rsidRPr="00253E22" w:rsidRDefault="007B5B39" w:rsidP="007C2E2B">
            <w:pPr>
              <w:jc w:val="center"/>
              <w:rPr>
                <w:rFonts w:ascii="Arial" w:hAnsi="Arial" w:cs="Arial"/>
                <w:color w:val="000000"/>
              </w:rPr>
            </w:pPr>
            <w:r w:rsidRPr="00253E22">
              <w:rPr>
                <w:rFonts w:ascii="Arial" w:hAnsi="Arial" w:cs="Arial"/>
                <w:color w:val="000000"/>
              </w:rPr>
              <w:t>39500</w:t>
            </w:r>
          </w:p>
        </w:tc>
        <w:tc>
          <w:tcPr>
            <w:tcW w:w="367" w:type="dxa"/>
            <w:tcBorders>
              <w:top w:val="nil"/>
              <w:left w:val="nil"/>
              <w:bottom w:val="single" w:sz="4" w:space="0" w:color="auto"/>
              <w:right w:val="single" w:sz="4" w:space="0" w:color="auto"/>
            </w:tcBorders>
            <w:shd w:val="clear" w:color="auto" w:fill="auto"/>
            <w:noWrap/>
            <w:vAlign w:val="center"/>
            <w:hideMark/>
          </w:tcPr>
          <w:p w14:paraId="49B9D542" w14:textId="77777777" w:rsidR="007B5B39" w:rsidRPr="00253E22" w:rsidRDefault="007B5B39" w:rsidP="007C2E2B">
            <w:pPr>
              <w:jc w:val="center"/>
              <w:rPr>
                <w:rFonts w:ascii="Arial" w:hAnsi="Arial" w:cs="Arial"/>
                <w:color w:val="000000"/>
              </w:rPr>
            </w:pPr>
            <w:r w:rsidRPr="00253E22">
              <w:rPr>
                <w:rFonts w:ascii="Arial" w:hAnsi="Arial" w:cs="Arial"/>
                <w:color w:val="000000"/>
              </w:rPr>
              <w:t>-</w:t>
            </w:r>
          </w:p>
        </w:tc>
        <w:tc>
          <w:tcPr>
            <w:tcW w:w="1215" w:type="dxa"/>
            <w:tcBorders>
              <w:top w:val="nil"/>
              <w:left w:val="nil"/>
              <w:bottom w:val="single" w:sz="4" w:space="0" w:color="auto"/>
              <w:right w:val="nil"/>
            </w:tcBorders>
            <w:shd w:val="clear" w:color="auto" w:fill="auto"/>
            <w:noWrap/>
            <w:vAlign w:val="center"/>
            <w:hideMark/>
          </w:tcPr>
          <w:p w14:paraId="793715D2" w14:textId="77777777" w:rsidR="007B5B39" w:rsidRPr="00253E22" w:rsidRDefault="007B5B39" w:rsidP="007C2E2B">
            <w:pPr>
              <w:jc w:val="center"/>
              <w:rPr>
                <w:rFonts w:ascii="Arial" w:hAnsi="Arial" w:cs="Arial"/>
                <w:color w:val="000000"/>
              </w:rPr>
            </w:pPr>
            <w:r w:rsidRPr="00253E22">
              <w:rPr>
                <w:rFonts w:ascii="Arial" w:hAnsi="Arial" w:cs="Arial"/>
                <w:color w:val="000000"/>
              </w:rPr>
              <w:t>43500</w:t>
            </w:r>
          </w:p>
        </w:tc>
        <w:tc>
          <w:tcPr>
            <w:tcW w:w="1668" w:type="dxa"/>
            <w:tcBorders>
              <w:top w:val="nil"/>
              <w:left w:val="single" w:sz="8" w:space="0" w:color="auto"/>
              <w:bottom w:val="single" w:sz="4" w:space="0" w:color="auto"/>
              <w:right w:val="nil"/>
            </w:tcBorders>
            <w:shd w:val="clear" w:color="auto" w:fill="auto"/>
            <w:noWrap/>
            <w:vAlign w:val="center"/>
            <w:hideMark/>
          </w:tcPr>
          <w:p w14:paraId="514D191E" w14:textId="77777777" w:rsidR="007B5B39" w:rsidRPr="00253E22" w:rsidRDefault="007B5B39" w:rsidP="007C2E2B">
            <w:pPr>
              <w:jc w:val="center"/>
              <w:rPr>
                <w:rFonts w:ascii="Arial" w:hAnsi="Arial" w:cs="Arial"/>
                <w:color w:val="000000"/>
              </w:rPr>
            </w:pPr>
            <w:r w:rsidRPr="00253E22">
              <w:rPr>
                <w:rFonts w:ascii="Arial" w:hAnsi="Arial" w:cs="Arial"/>
                <w:color w:val="000000"/>
              </w:rPr>
              <w:t>4000</w:t>
            </w:r>
          </w:p>
        </w:tc>
        <w:tc>
          <w:tcPr>
            <w:tcW w:w="166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5C9693F" w14:textId="77777777" w:rsidR="007B5B39" w:rsidRPr="00253E22" w:rsidRDefault="007B5B39" w:rsidP="007C2E2B">
            <w:pPr>
              <w:jc w:val="center"/>
              <w:rPr>
                <w:rFonts w:ascii="Arial" w:hAnsi="Arial" w:cs="Arial"/>
                <w:color w:val="000000"/>
                <w:lang w:val="en-US"/>
              </w:rPr>
            </w:pPr>
            <w:r w:rsidRPr="00253E22">
              <w:rPr>
                <w:rFonts w:ascii="Arial" w:hAnsi="Arial" w:cs="Arial"/>
                <w:color w:val="000000"/>
                <w:lang w:val="en-US"/>
              </w:rPr>
              <w:t>9.6</w:t>
            </w:r>
          </w:p>
        </w:tc>
        <w:tc>
          <w:tcPr>
            <w:tcW w:w="281" w:type="dxa"/>
            <w:tcBorders>
              <w:left w:val="single" w:sz="4" w:space="0" w:color="auto"/>
            </w:tcBorders>
            <w:vAlign w:val="center"/>
            <w:hideMark/>
          </w:tcPr>
          <w:p w14:paraId="6AD74517" w14:textId="77777777" w:rsidR="007B5B39" w:rsidRDefault="007B5B39" w:rsidP="007C2E2B"/>
        </w:tc>
      </w:tr>
      <w:tr w:rsidR="007B5B39" w14:paraId="64432550" w14:textId="77777777" w:rsidTr="00253E22">
        <w:trPr>
          <w:trHeight w:val="130"/>
          <w:jc w:val="center"/>
        </w:trPr>
        <w:tc>
          <w:tcPr>
            <w:tcW w:w="1726" w:type="dxa"/>
            <w:tcBorders>
              <w:top w:val="nil"/>
              <w:left w:val="single" w:sz="8" w:space="0" w:color="auto"/>
              <w:bottom w:val="single" w:sz="4" w:space="0" w:color="auto"/>
              <w:right w:val="single" w:sz="8" w:space="0" w:color="auto"/>
            </w:tcBorders>
            <w:shd w:val="clear" w:color="auto" w:fill="auto"/>
            <w:noWrap/>
            <w:vAlign w:val="center"/>
            <w:hideMark/>
          </w:tcPr>
          <w:p w14:paraId="29BC3C34" w14:textId="77777777" w:rsidR="007B5B39" w:rsidRPr="00253E22" w:rsidRDefault="007B5B39" w:rsidP="007C2E2B">
            <w:pPr>
              <w:jc w:val="center"/>
              <w:rPr>
                <w:rFonts w:ascii="Arial" w:hAnsi="Arial" w:cs="Arial"/>
                <w:color w:val="000000"/>
              </w:rPr>
            </w:pPr>
            <w:r w:rsidRPr="00253E22">
              <w:rPr>
                <w:rFonts w:ascii="Arial" w:hAnsi="Arial" w:cs="Arial"/>
                <w:color w:val="000000"/>
              </w:rPr>
              <w:t>n260</w:t>
            </w:r>
          </w:p>
        </w:tc>
        <w:tc>
          <w:tcPr>
            <w:tcW w:w="1206" w:type="dxa"/>
            <w:tcBorders>
              <w:top w:val="nil"/>
              <w:left w:val="nil"/>
              <w:bottom w:val="single" w:sz="4" w:space="0" w:color="auto"/>
              <w:right w:val="single" w:sz="4" w:space="0" w:color="auto"/>
            </w:tcBorders>
            <w:shd w:val="clear" w:color="auto" w:fill="auto"/>
            <w:noWrap/>
            <w:vAlign w:val="center"/>
            <w:hideMark/>
          </w:tcPr>
          <w:p w14:paraId="355E56BB" w14:textId="77777777" w:rsidR="007B5B39" w:rsidRPr="00253E22" w:rsidRDefault="007B5B39" w:rsidP="007C2E2B">
            <w:pPr>
              <w:jc w:val="center"/>
              <w:rPr>
                <w:rFonts w:ascii="Arial" w:hAnsi="Arial" w:cs="Arial"/>
                <w:color w:val="000000"/>
              </w:rPr>
            </w:pPr>
            <w:r w:rsidRPr="00253E22">
              <w:rPr>
                <w:rFonts w:ascii="Arial" w:hAnsi="Arial" w:cs="Arial"/>
                <w:color w:val="000000"/>
              </w:rPr>
              <w:t>37000</w:t>
            </w:r>
          </w:p>
        </w:tc>
        <w:tc>
          <w:tcPr>
            <w:tcW w:w="367" w:type="dxa"/>
            <w:tcBorders>
              <w:top w:val="nil"/>
              <w:left w:val="nil"/>
              <w:bottom w:val="single" w:sz="4" w:space="0" w:color="auto"/>
              <w:right w:val="single" w:sz="4" w:space="0" w:color="auto"/>
            </w:tcBorders>
            <w:shd w:val="clear" w:color="auto" w:fill="auto"/>
            <w:noWrap/>
            <w:vAlign w:val="center"/>
            <w:hideMark/>
          </w:tcPr>
          <w:p w14:paraId="7F32147A" w14:textId="77777777" w:rsidR="007B5B39" w:rsidRPr="00253E22" w:rsidRDefault="007B5B39" w:rsidP="007C2E2B">
            <w:pPr>
              <w:jc w:val="center"/>
              <w:rPr>
                <w:rFonts w:ascii="Arial" w:hAnsi="Arial" w:cs="Arial"/>
                <w:color w:val="000000"/>
              </w:rPr>
            </w:pPr>
            <w:r w:rsidRPr="00253E22">
              <w:rPr>
                <w:rFonts w:ascii="Arial" w:hAnsi="Arial" w:cs="Arial"/>
                <w:color w:val="000000"/>
              </w:rPr>
              <w:t>-</w:t>
            </w:r>
          </w:p>
        </w:tc>
        <w:tc>
          <w:tcPr>
            <w:tcW w:w="1215" w:type="dxa"/>
            <w:tcBorders>
              <w:top w:val="nil"/>
              <w:left w:val="nil"/>
              <w:bottom w:val="single" w:sz="4" w:space="0" w:color="auto"/>
              <w:right w:val="nil"/>
            </w:tcBorders>
            <w:shd w:val="clear" w:color="auto" w:fill="auto"/>
            <w:noWrap/>
            <w:vAlign w:val="center"/>
            <w:hideMark/>
          </w:tcPr>
          <w:p w14:paraId="3F4896A3" w14:textId="77777777" w:rsidR="007B5B39" w:rsidRPr="00253E22" w:rsidRDefault="007B5B39" w:rsidP="007C2E2B">
            <w:pPr>
              <w:jc w:val="center"/>
              <w:rPr>
                <w:rFonts w:ascii="Arial" w:hAnsi="Arial" w:cs="Arial"/>
                <w:color w:val="000000"/>
              </w:rPr>
            </w:pPr>
            <w:r w:rsidRPr="00253E22">
              <w:rPr>
                <w:rFonts w:ascii="Arial" w:hAnsi="Arial" w:cs="Arial"/>
                <w:color w:val="000000"/>
              </w:rPr>
              <w:t>40000</w:t>
            </w:r>
          </w:p>
        </w:tc>
        <w:tc>
          <w:tcPr>
            <w:tcW w:w="1668" w:type="dxa"/>
            <w:tcBorders>
              <w:top w:val="nil"/>
              <w:left w:val="single" w:sz="8" w:space="0" w:color="auto"/>
              <w:bottom w:val="single" w:sz="4" w:space="0" w:color="auto"/>
              <w:right w:val="nil"/>
            </w:tcBorders>
            <w:shd w:val="clear" w:color="auto" w:fill="auto"/>
            <w:noWrap/>
            <w:vAlign w:val="center"/>
            <w:hideMark/>
          </w:tcPr>
          <w:p w14:paraId="5EC7D10A" w14:textId="77777777" w:rsidR="007B5B39" w:rsidRPr="00253E22" w:rsidRDefault="007B5B39" w:rsidP="007C2E2B">
            <w:pPr>
              <w:jc w:val="center"/>
              <w:rPr>
                <w:rFonts w:ascii="Arial" w:hAnsi="Arial" w:cs="Arial"/>
                <w:color w:val="000000"/>
              </w:rPr>
            </w:pPr>
            <w:r w:rsidRPr="00253E22">
              <w:rPr>
                <w:rFonts w:ascii="Arial" w:hAnsi="Arial" w:cs="Arial"/>
                <w:color w:val="000000"/>
              </w:rPr>
              <w:t>3000</w:t>
            </w:r>
          </w:p>
        </w:tc>
        <w:tc>
          <w:tcPr>
            <w:tcW w:w="166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2AB6711" w14:textId="77777777" w:rsidR="007B5B39" w:rsidRPr="00253E22" w:rsidRDefault="007B5B39" w:rsidP="007C2E2B">
            <w:pPr>
              <w:jc w:val="center"/>
              <w:rPr>
                <w:rFonts w:ascii="Arial" w:hAnsi="Arial" w:cs="Arial"/>
                <w:color w:val="000000"/>
                <w:lang w:val="en-US"/>
              </w:rPr>
            </w:pPr>
            <w:r w:rsidRPr="00253E22">
              <w:rPr>
                <w:rFonts w:ascii="Arial" w:hAnsi="Arial" w:cs="Arial"/>
                <w:color w:val="000000"/>
                <w:lang w:val="en-US"/>
              </w:rPr>
              <w:t>7.8</w:t>
            </w:r>
          </w:p>
        </w:tc>
        <w:tc>
          <w:tcPr>
            <w:tcW w:w="281" w:type="dxa"/>
            <w:tcBorders>
              <w:left w:val="single" w:sz="4" w:space="0" w:color="auto"/>
            </w:tcBorders>
            <w:vAlign w:val="center"/>
            <w:hideMark/>
          </w:tcPr>
          <w:p w14:paraId="749DC95F" w14:textId="77777777" w:rsidR="007B5B39" w:rsidRDefault="007B5B39" w:rsidP="007C2E2B"/>
        </w:tc>
      </w:tr>
      <w:tr w:rsidR="007B5B39" w14:paraId="2AF33AD8" w14:textId="77777777" w:rsidTr="00253E22">
        <w:trPr>
          <w:trHeight w:val="130"/>
          <w:jc w:val="center"/>
        </w:trPr>
        <w:tc>
          <w:tcPr>
            <w:tcW w:w="1726" w:type="dxa"/>
            <w:tcBorders>
              <w:top w:val="nil"/>
              <w:left w:val="single" w:sz="8" w:space="0" w:color="auto"/>
              <w:bottom w:val="single" w:sz="4" w:space="0" w:color="auto"/>
              <w:right w:val="single" w:sz="8" w:space="0" w:color="auto"/>
            </w:tcBorders>
            <w:shd w:val="clear" w:color="auto" w:fill="auto"/>
            <w:noWrap/>
            <w:vAlign w:val="center"/>
            <w:hideMark/>
          </w:tcPr>
          <w:p w14:paraId="7EFB6C2A" w14:textId="77777777" w:rsidR="007B5B39" w:rsidRPr="00253E22" w:rsidRDefault="007B5B39" w:rsidP="007C2E2B">
            <w:pPr>
              <w:jc w:val="center"/>
              <w:rPr>
                <w:rFonts w:ascii="Arial" w:hAnsi="Arial" w:cs="Arial"/>
                <w:color w:val="000000"/>
              </w:rPr>
            </w:pPr>
            <w:r w:rsidRPr="00253E22">
              <w:rPr>
                <w:rFonts w:ascii="Arial" w:hAnsi="Arial" w:cs="Arial"/>
                <w:color w:val="000000"/>
              </w:rPr>
              <w:t>n261</w:t>
            </w:r>
          </w:p>
        </w:tc>
        <w:tc>
          <w:tcPr>
            <w:tcW w:w="1206" w:type="dxa"/>
            <w:tcBorders>
              <w:top w:val="nil"/>
              <w:left w:val="nil"/>
              <w:bottom w:val="single" w:sz="4" w:space="0" w:color="auto"/>
              <w:right w:val="single" w:sz="4" w:space="0" w:color="auto"/>
            </w:tcBorders>
            <w:shd w:val="clear" w:color="auto" w:fill="auto"/>
            <w:noWrap/>
            <w:vAlign w:val="center"/>
            <w:hideMark/>
          </w:tcPr>
          <w:p w14:paraId="0E717C00" w14:textId="77777777" w:rsidR="007B5B39" w:rsidRPr="00253E22" w:rsidRDefault="007B5B39" w:rsidP="007C2E2B">
            <w:pPr>
              <w:jc w:val="center"/>
              <w:rPr>
                <w:rFonts w:ascii="Arial" w:hAnsi="Arial" w:cs="Arial"/>
                <w:color w:val="000000"/>
              </w:rPr>
            </w:pPr>
            <w:r w:rsidRPr="00253E22">
              <w:rPr>
                <w:rFonts w:ascii="Arial" w:hAnsi="Arial" w:cs="Arial"/>
                <w:color w:val="000000"/>
              </w:rPr>
              <w:t>27500</w:t>
            </w:r>
          </w:p>
        </w:tc>
        <w:tc>
          <w:tcPr>
            <w:tcW w:w="367" w:type="dxa"/>
            <w:tcBorders>
              <w:top w:val="nil"/>
              <w:left w:val="nil"/>
              <w:bottom w:val="single" w:sz="4" w:space="0" w:color="auto"/>
              <w:right w:val="single" w:sz="4" w:space="0" w:color="auto"/>
            </w:tcBorders>
            <w:shd w:val="clear" w:color="auto" w:fill="auto"/>
            <w:noWrap/>
            <w:vAlign w:val="center"/>
            <w:hideMark/>
          </w:tcPr>
          <w:p w14:paraId="32AEBF7A" w14:textId="77777777" w:rsidR="007B5B39" w:rsidRPr="00253E22" w:rsidRDefault="007B5B39" w:rsidP="007C2E2B">
            <w:pPr>
              <w:jc w:val="center"/>
              <w:rPr>
                <w:rFonts w:ascii="Arial" w:hAnsi="Arial" w:cs="Arial"/>
                <w:color w:val="000000"/>
              </w:rPr>
            </w:pPr>
            <w:r w:rsidRPr="00253E22">
              <w:rPr>
                <w:rFonts w:ascii="Arial" w:hAnsi="Arial" w:cs="Arial"/>
                <w:color w:val="000000"/>
              </w:rPr>
              <w:t>-</w:t>
            </w:r>
          </w:p>
        </w:tc>
        <w:tc>
          <w:tcPr>
            <w:tcW w:w="1215" w:type="dxa"/>
            <w:tcBorders>
              <w:top w:val="nil"/>
              <w:left w:val="nil"/>
              <w:bottom w:val="single" w:sz="4" w:space="0" w:color="auto"/>
              <w:right w:val="nil"/>
            </w:tcBorders>
            <w:shd w:val="clear" w:color="auto" w:fill="auto"/>
            <w:noWrap/>
            <w:vAlign w:val="center"/>
            <w:hideMark/>
          </w:tcPr>
          <w:p w14:paraId="74F47CFD" w14:textId="77777777" w:rsidR="007B5B39" w:rsidRPr="00253E22" w:rsidRDefault="007B5B39" w:rsidP="007C2E2B">
            <w:pPr>
              <w:jc w:val="center"/>
              <w:rPr>
                <w:rFonts w:ascii="Arial" w:hAnsi="Arial" w:cs="Arial"/>
                <w:color w:val="000000"/>
              </w:rPr>
            </w:pPr>
            <w:r w:rsidRPr="00253E22">
              <w:rPr>
                <w:rFonts w:ascii="Arial" w:hAnsi="Arial" w:cs="Arial"/>
                <w:color w:val="000000"/>
              </w:rPr>
              <w:t>28350</w:t>
            </w:r>
          </w:p>
        </w:tc>
        <w:tc>
          <w:tcPr>
            <w:tcW w:w="1668" w:type="dxa"/>
            <w:tcBorders>
              <w:top w:val="nil"/>
              <w:left w:val="single" w:sz="8" w:space="0" w:color="auto"/>
              <w:bottom w:val="single" w:sz="4" w:space="0" w:color="auto"/>
              <w:right w:val="nil"/>
            </w:tcBorders>
            <w:shd w:val="clear" w:color="auto" w:fill="auto"/>
            <w:noWrap/>
            <w:vAlign w:val="center"/>
            <w:hideMark/>
          </w:tcPr>
          <w:p w14:paraId="626BF5A9" w14:textId="77777777" w:rsidR="007B5B39" w:rsidRPr="00253E22" w:rsidRDefault="007B5B39" w:rsidP="007C2E2B">
            <w:pPr>
              <w:jc w:val="center"/>
              <w:rPr>
                <w:rFonts w:ascii="Arial" w:hAnsi="Arial" w:cs="Arial"/>
                <w:color w:val="000000"/>
              </w:rPr>
            </w:pPr>
            <w:r w:rsidRPr="00253E22">
              <w:rPr>
                <w:rFonts w:ascii="Arial" w:hAnsi="Arial" w:cs="Arial"/>
                <w:color w:val="000000"/>
              </w:rPr>
              <w:t>850</w:t>
            </w:r>
          </w:p>
        </w:tc>
        <w:tc>
          <w:tcPr>
            <w:tcW w:w="166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BC490E" w14:textId="77777777" w:rsidR="007B5B39" w:rsidRPr="00253E22" w:rsidRDefault="007B5B39" w:rsidP="007C2E2B">
            <w:pPr>
              <w:jc w:val="center"/>
              <w:rPr>
                <w:rFonts w:ascii="Arial" w:hAnsi="Arial" w:cs="Arial"/>
                <w:color w:val="000000"/>
                <w:lang w:val="en-US"/>
              </w:rPr>
            </w:pPr>
            <w:r w:rsidRPr="00253E22">
              <w:rPr>
                <w:rFonts w:ascii="Arial" w:hAnsi="Arial" w:cs="Arial"/>
                <w:color w:val="000000"/>
              </w:rPr>
              <w:t>3.</w:t>
            </w:r>
            <w:r w:rsidRPr="00253E22">
              <w:rPr>
                <w:rFonts w:ascii="Arial" w:hAnsi="Arial" w:cs="Arial"/>
                <w:color w:val="000000"/>
                <w:lang w:val="en-US"/>
              </w:rPr>
              <w:t>0</w:t>
            </w:r>
          </w:p>
        </w:tc>
        <w:tc>
          <w:tcPr>
            <w:tcW w:w="281" w:type="dxa"/>
            <w:tcBorders>
              <w:left w:val="single" w:sz="4" w:space="0" w:color="auto"/>
            </w:tcBorders>
            <w:vAlign w:val="center"/>
            <w:hideMark/>
          </w:tcPr>
          <w:p w14:paraId="6C4B972B" w14:textId="77777777" w:rsidR="007B5B39" w:rsidRDefault="007B5B39" w:rsidP="007C2E2B"/>
        </w:tc>
      </w:tr>
      <w:tr w:rsidR="007B5B39" w14:paraId="70335AA4" w14:textId="77777777" w:rsidTr="00253E22">
        <w:trPr>
          <w:trHeight w:val="139"/>
          <w:jc w:val="center"/>
        </w:trPr>
        <w:tc>
          <w:tcPr>
            <w:tcW w:w="1726" w:type="dxa"/>
            <w:tcBorders>
              <w:top w:val="nil"/>
              <w:left w:val="single" w:sz="8" w:space="0" w:color="auto"/>
              <w:bottom w:val="single" w:sz="4" w:space="0" w:color="auto"/>
              <w:right w:val="single" w:sz="8" w:space="0" w:color="auto"/>
            </w:tcBorders>
            <w:shd w:val="clear" w:color="auto" w:fill="auto"/>
            <w:noWrap/>
            <w:vAlign w:val="center"/>
            <w:hideMark/>
          </w:tcPr>
          <w:p w14:paraId="50252B70" w14:textId="77777777" w:rsidR="007B5B39" w:rsidRPr="00253E22" w:rsidRDefault="007B5B39" w:rsidP="007C2E2B">
            <w:pPr>
              <w:jc w:val="center"/>
              <w:rPr>
                <w:rFonts w:ascii="Arial" w:hAnsi="Arial" w:cs="Arial"/>
                <w:color w:val="000000"/>
              </w:rPr>
            </w:pPr>
            <w:r w:rsidRPr="00253E22">
              <w:rPr>
                <w:rFonts w:ascii="Arial" w:hAnsi="Arial" w:cs="Arial"/>
                <w:color w:val="000000"/>
              </w:rPr>
              <w:t>n262</w:t>
            </w:r>
          </w:p>
        </w:tc>
        <w:tc>
          <w:tcPr>
            <w:tcW w:w="1206" w:type="dxa"/>
            <w:tcBorders>
              <w:top w:val="nil"/>
              <w:left w:val="nil"/>
              <w:bottom w:val="single" w:sz="4" w:space="0" w:color="auto"/>
              <w:right w:val="single" w:sz="4" w:space="0" w:color="auto"/>
            </w:tcBorders>
            <w:shd w:val="clear" w:color="auto" w:fill="auto"/>
            <w:noWrap/>
            <w:vAlign w:val="bottom"/>
            <w:hideMark/>
          </w:tcPr>
          <w:p w14:paraId="3D003FA7" w14:textId="77777777" w:rsidR="007B5B39" w:rsidRPr="00253E22" w:rsidRDefault="007B5B39" w:rsidP="007C2E2B">
            <w:pPr>
              <w:jc w:val="center"/>
              <w:rPr>
                <w:rFonts w:ascii="Arial" w:hAnsi="Arial" w:cs="Arial"/>
                <w:color w:val="000000"/>
              </w:rPr>
            </w:pPr>
            <w:r w:rsidRPr="00253E22">
              <w:rPr>
                <w:rFonts w:ascii="Arial" w:hAnsi="Arial" w:cs="Arial"/>
                <w:color w:val="000000"/>
              </w:rPr>
              <w:t>47200</w:t>
            </w:r>
          </w:p>
        </w:tc>
        <w:tc>
          <w:tcPr>
            <w:tcW w:w="367" w:type="dxa"/>
            <w:tcBorders>
              <w:top w:val="nil"/>
              <w:left w:val="nil"/>
              <w:bottom w:val="single" w:sz="4" w:space="0" w:color="auto"/>
              <w:right w:val="single" w:sz="4" w:space="0" w:color="auto"/>
            </w:tcBorders>
            <w:shd w:val="clear" w:color="auto" w:fill="auto"/>
            <w:noWrap/>
            <w:vAlign w:val="bottom"/>
            <w:hideMark/>
          </w:tcPr>
          <w:p w14:paraId="4D96CCF3" w14:textId="77777777" w:rsidR="007B5B39" w:rsidRPr="00253E22" w:rsidRDefault="007B5B39" w:rsidP="007C2E2B">
            <w:pPr>
              <w:rPr>
                <w:rFonts w:ascii="Arial" w:hAnsi="Arial" w:cs="Arial"/>
                <w:color w:val="000000"/>
              </w:rPr>
            </w:pPr>
            <w:r w:rsidRPr="00253E22">
              <w:rPr>
                <w:rFonts w:ascii="Arial" w:hAnsi="Arial" w:cs="Arial"/>
                <w:color w:val="000000"/>
              </w:rPr>
              <w:t>-</w:t>
            </w:r>
          </w:p>
        </w:tc>
        <w:tc>
          <w:tcPr>
            <w:tcW w:w="1215" w:type="dxa"/>
            <w:tcBorders>
              <w:top w:val="nil"/>
              <w:left w:val="nil"/>
              <w:bottom w:val="single" w:sz="4" w:space="0" w:color="auto"/>
              <w:right w:val="nil"/>
            </w:tcBorders>
            <w:shd w:val="clear" w:color="auto" w:fill="auto"/>
            <w:noWrap/>
            <w:vAlign w:val="bottom"/>
            <w:hideMark/>
          </w:tcPr>
          <w:p w14:paraId="2D41539B" w14:textId="77777777" w:rsidR="007B5B39" w:rsidRPr="00253E22" w:rsidRDefault="007B5B39" w:rsidP="007C2E2B">
            <w:pPr>
              <w:jc w:val="center"/>
              <w:rPr>
                <w:rFonts w:ascii="Arial" w:hAnsi="Arial" w:cs="Arial"/>
                <w:color w:val="000000"/>
              </w:rPr>
            </w:pPr>
            <w:r w:rsidRPr="00253E22">
              <w:rPr>
                <w:rFonts w:ascii="Arial" w:hAnsi="Arial" w:cs="Arial"/>
                <w:color w:val="000000"/>
              </w:rPr>
              <w:t>48200</w:t>
            </w:r>
          </w:p>
        </w:tc>
        <w:tc>
          <w:tcPr>
            <w:tcW w:w="1668" w:type="dxa"/>
            <w:tcBorders>
              <w:top w:val="nil"/>
              <w:left w:val="single" w:sz="8" w:space="0" w:color="auto"/>
              <w:bottom w:val="single" w:sz="4" w:space="0" w:color="auto"/>
              <w:right w:val="nil"/>
            </w:tcBorders>
            <w:shd w:val="clear" w:color="auto" w:fill="auto"/>
            <w:noWrap/>
            <w:vAlign w:val="center"/>
            <w:hideMark/>
          </w:tcPr>
          <w:p w14:paraId="3E31262B" w14:textId="77777777" w:rsidR="007B5B39" w:rsidRPr="00253E22" w:rsidRDefault="007B5B39" w:rsidP="007C2E2B">
            <w:pPr>
              <w:jc w:val="center"/>
              <w:rPr>
                <w:rFonts w:ascii="Arial" w:hAnsi="Arial" w:cs="Arial"/>
                <w:color w:val="000000"/>
              </w:rPr>
            </w:pPr>
            <w:r w:rsidRPr="00253E22">
              <w:rPr>
                <w:rFonts w:ascii="Arial" w:hAnsi="Arial" w:cs="Arial"/>
                <w:color w:val="000000"/>
              </w:rPr>
              <w:t>1000</w:t>
            </w:r>
          </w:p>
        </w:tc>
        <w:tc>
          <w:tcPr>
            <w:tcW w:w="166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E9216AF" w14:textId="77777777" w:rsidR="007B5B39" w:rsidRPr="00253E22" w:rsidRDefault="007B5B39" w:rsidP="007C2E2B">
            <w:pPr>
              <w:jc w:val="center"/>
              <w:rPr>
                <w:rFonts w:ascii="Arial" w:hAnsi="Arial" w:cs="Arial"/>
                <w:color w:val="000000"/>
              </w:rPr>
            </w:pPr>
            <w:r w:rsidRPr="00253E22">
              <w:rPr>
                <w:rFonts w:ascii="Arial" w:hAnsi="Arial" w:cs="Arial"/>
                <w:color w:val="000000"/>
              </w:rPr>
              <w:t>2.1</w:t>
            </w:r>
          </w:p>
        </w:tc>
        <w:tc>
          <w:tcPr>
            <w:tcW w:w="281" w:type="dxa"/>
            <w:tcBorders>
              <w:left w:val="single" w:sz="4" w:space="0" w:color="auto"/>
            </w:tcBorders>
            <w:vAlign w:val="center"/>
            <w:hideMark/>
          </w:tcPr>
          <w:p w14:paraId="457D3A53" w14:textId="77777777" w:rsidR="007B5B39" w:rsidRDefault="007B5B39" w:rsidP="007C2E2B"/>
        </w:tc>
      </w:tr>
      <w:tr w:rsidR="007B5B39" w14:paraId="232209B7" w14:textId="77777777" w:rsidTr="00253E22">
        <w:trPr>
          <w:trHeight w:val="139"/>
          <w:jc w:val="center"/>
        </w:trPr>
        <w:tc>
          <w:tcPr>
            <w:tcW w:w="1726" w:type="dxa"/>
            <w:tcBorders>
              <w:top w:val="nil"/>
              <w:left w:val="single" w:sz="8" w:space="0" w:color="auto"/>
              <w:bottom w:val="single" w:sz="4" w:space="0" w:color="auto"/>
              <w:right w:val="single" w:sz="8" w:space="0" w:color="auto"/>
            </w:tcBorders>
            <w:shd w:val="clear" w:color="auto" w:fill="auto"/>
            <w:noWrap/>
            <w:vAlign w:val="center"/>
            <w:hideMark/>
          </w:tcPr>
          <w:p w14:paraId="7D293345" w14:textId="77777777" w:rsidR="007B5B39" w:rsidRPr="00253E22" w:rsidRDefault="007B5B39" w:rsidP="007C2E2B">
            <w:pPr>
              <w:jc w:val="center"/>
              <w:rPr>
                <w:rFonts w:ascii="Arial" w:hAnsi="Arial" w:cs="Arial"/>
                <w:color w:val="000000"/>
              </w:rPr>
            </w:pPr>
            <w:r w:rsidRPr="00253E22">
              <w:rPr>
                <w:rFonts w:ascii="Arial" w:hAnsi="Arial" w:cs="Arial"/>
                <w:color w:val="000000"/>
              </w:rPr>
              <w:t>nXYZ</w:t>
            </w:r>
          </w:p>
        </w:tc>
        <w:tc>
          <w:tcPr>
            <w:tcW w:w="1206" w:type="dxa"/>
            <w:tcBorders>
              <w:top w:val="nil"/>
              <w:left w:val="nil"/>
              <w:bottom w:val="single" w:sz="4" w:space="0" w:color="auto"/>
              <w:right w:val="single" w:sz="4" w:space="0" w:color="auto"/>
            </w:tcBorders>
            <w:shd w:val="clear" w:color="auto" w:fill="auto"/>
            <w:noWrap/>
            <w:vAlign w:val="bottom"/>
            <w:hideMark/>
          </w:tcPr>
          <w:p w14:paraId="30A0DB46" w14:textId="77777777" w:rsidR="007B5B39" w:rsidRPr="00253E22" w:rsidRDefault="007B5B39" w:rsidP="007C2E2B">
            <w:pPr>
              <w:jc w:val="center"/>
              <w:rPr>
                <w:rFonts w:ascii="Arial" w:hAnsi="Arial" w:cs="Arial"/>
                <w:color w:val="000000"/>
              </w:rPr>
            </w:pPr>
            <w:r w:rsidRPr="00253E22">
              <w:rPr>
                <w:rFonts w:ascii="Arial" w:hAnsi="Arial" w:cs="Arial"/>
                <w:color w:val="000000"/>
              </w:rPr>
              <w:t>52600</w:t>
            </w:r>
          </w:p>
        </w:tc>
        <w:tc>
          <w:tcPr>
            <w:tcW w:w="367" w:type="dxa"/>
            <w:tcBorders>
              <w:top w:val="nil"/>
              <w:left w:val="nil"/>
              <w:bottom w:val="single" w:sz="4" w:space="0" w:color="auto"/>
              <w:right w:val="single" w:sz="4" w:space="0" w:color="auto"/>
            </w:tcBorders>
            <w:shd w:val="clear" w:color="auto" w:fill="auto"/>
            <w:noWrap/>
            <w:vAlign w:val="bottom"/>
            <w:hideMark/>
          </w:tcPr>
          <w:p w14:paraId="2608D3FD" w14:textId="77777777" w:rsidR="007B5B39" w:rsidRPr="00253E22" w:rsidRDefault="007B5B39" w:rsidP="007C2E2B">
            <w:pPr>
              <w:rPr>
                <w:rFonts w:ascii="Arial" w:hAnsi="Arial" w:cs="Arial"/>
                <w:color w:val="000000"/>
              </w:rPr>
            </w:pPr>
            <w:r w:rsidRPr="00253E22">
              <w:rPr>
                <w:rFonts w:ascii="Arial" w:hAnsi="Arial" w:cs="Arial"/>
                <w:color w:val="000000"/>
              </w:rPr>
              <w:t>-</w:t>
            </w:r>
          </w:p>
        </w:tc>
        <w:tc>
          <w:tcPr>
            <w:tcW w:w="1215" w:type="dxa"/>
            <w:tcBorders>
              <w:top w:val="nil"/>
              <w:left w:val="nil"/>
              <w:bottom w:val="single" w:sz="4" w:space="0" w:color="auto"/>
              <w:right w:val="nil"/>
            </w:tcBorders>
            <w:shd w:val="clear" w:color="auto" w:fill="auto"/>
            <w:noWrap/>
            <w:vAlign w:val="bottom"/>
            <w:hideMark/>
          </w:tcPr>
          <w:p w14:paraId="3BB9564B" w14:textId="77777777" w:rsidR="007B5B39" w:rsidRPr="00253E22" w:rsidRDefault="007B5B39" w:rsidP="007C2E2B">
            <w:pPr>
              <w:jc w:val="center"/>
              <w:rPr>
                <w:rFonts w:ascii="Arial" w:hAnsi="Arial" w:cs="Arial"/>
                <w:color w:val="000000"/>
              </w:rPr>
            </w:pPr>
            <w:r w:rsidRPr="00253E22">
              <w:rPr>
                <w:rFonts w:ascii="Arial" w:hAnsi="Arial" w:cs="Arial"/>
                <w:color w:val="000000"/>
              </w:rPr>
              <w:t>71000</w:t>
            </w:r>
          </w:p>
        </w:tc>
        <w:tc>
          <w:tcPr>
            <w:tcW w:w="1668" w:type="dxa"/>
            <w:tcBorders>
              <w:top w:val="nil"/>
              <w:left w:val="single" w:sz="8" w:space="0" w:color="auto"/>
              <w:bottom w:val="single" w:sz="4" w:space="0" w:color="auto"/>
              <w:right w:val="nil"/>
            </w:tcBorders>
            <w:shd w:val="clear" w:color="auto" w:fill="auto"/>
            <w:noWrap/>
            <w:vAlign w:val="center"/>
            <w:hideMark/>
          </w:tcPr>
          <w:p w14:paraId="50305CBA" w14:textId="77777777" w:rsidR="007B5B39" w:rsidRPr="00253E22" w:rsidRDefault="007B5B39" w:rsidP="007C2E2B">
            <w:pPr>
              <w:jc w:val="center"/>
              <w:rPr>
                <w:rFonts w:ascii="Arial" w:hAnsi="Arial" w:cs="Arial"/>
                <w:color w:val="000000"/>
              </w:rPr>
            </w:pPr>
            <w:r w:rsidRPr="00253E22">
              <w:rPr>
                <w:rFonts w:ascii="Arial" w:hAnsi="Arial" w:cs="Arial"/>
                <w:color w:val="000000"/>
              </w:rPr>
              <w:t>18400</w:t>
            </w:r>
          </w:p>
        </w:tc>
        <w:tc>
          <w:tcPr>
            <w:tcW w:w="166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623178" w14:textId="77777777" w:rsidR="007B5B39" w:rsidRPr="00253E22" w:rsidRDefault="007B5B39" w:rsidP="007C2E2B">
            <w:pPr>
              <w:jc w:val="center"/>
              <w:rPr>
                <w:rFonts w:ascii="Arial" w:hAnsi="Arial" w:cs="Arial"/>
                <w:color w:val="000000"/>
                <w:lang w:val="en-US"/>
              </w:rPr>
            </w:pPr>
            <w:r w:rsidRPr="00253E22">
              <w:rPr>
                <w:rFonts w:ascii="Arial" w:hAnsi="Arial" w:cs="Arial"/>
                <w:color w:val="000000"/>
                <w:lang w:val="en-US"/>
              </w:rPr>
              <w:t>29.8</w:t>
            </w:r>
          </w:p>
        </w:tc>
        <w:tc>
          <w:tcPr>
            <w:tcW w:w="281" w:type="dxa"/>
            <w:tcBorders>
              <w:left w:val="single" w:sz="4" w:space="0" w:color="auto"/>
            </w:tcBorders>
            <w:vAlign w:val="center"/>
            <w:hideMark/>
          </w:tcPr>
          <w:p w14:paraId="5410C9FE" w14:textId="77777777" w:rsidR="007B5B39" w:rsidRDefault="007B5B39" w:rsidP="007C2E2B"/>
        </w:tc>
      </w:tr>
    </w:tbl>
    <w:p w14:paraId="6BDB6F4B" w14:textId="77777777" w:rsidR="007B5B39" w:rsidRDefault="007B5B39" w:rsidP="007B5B39">
      <w:pPr>
        <w:rPr>
          <w:rFonts w:ascii="Arial" w:hAnsi="Arial" w:cs="Arial"/>
        </w:rPr>
      </w:pPr>
      <w:r>
        <w:rPr>
          <w:rFonts w:ascii="Arial" w:hAnsi="Arial" w:cs="Arial"/>
        </w:rPr>
        <w:t xml:space="preserve"> </w:t>
      </w:r>
    </w:p>
    <w:p w14:paraId="0BF911A8" w14:textId="77777777" w:rsidR="007B5B39" w:rsidRDefault="007B5B39" w:rsidP="007B5B39">
      <w:pPr>
        <w:rPr>
          <w:rFonts w:ascii="Arial" w:hAnsi="Arial" w:cs="Arial"/>
          <w:lang w:val="en-US"/>
        </w:rPr>
      </w:pPr>
      <w:r>
        <w:rPr>
          <w:rFonts w:ascii="Arial" w:hAnsi="Arial" w:cs="Arial"/>
          <w:lang w:val="en-US"/>
        </w:rPr>
        <w:t xml:space="preserve">For 60 GHz the wide bandwidth at higher frequency becomes a challenge for the PA and LNA design, when aiming to achieve similar performance compared to the other FR2 bands.  </w:t>
      </w:r>
      <w:r w:rsidRPr="00293EFC">
        <w:rPr>
          <w:rFonts w:ascii="Arial" w:hAnsi="Arial" w:cs="Arial"/>
          <w:lang w:val="en-US"/>
        </w:rPr>
        <w:t xml:space="preserve">At </w:t>
      </w:r>
      <w:r>
        <w:rPr>
          <w:rFonts w:ascii="Arial" w:hAnsi="Arial" w:cs="Arial"/>
          <w:lang w:val="en-US"/>
        </w:rPr>
        <w:t>60 GHz</w:t>
      </w:r>
      <w:r w:rsidRPr="00293EFC">
        <w:rPr>
          <w:rFonts w:ascii="Arial" w:hAnsi="Arial" w:cs="Arial"/>
          <w:lang w:val="en-US"/>
        </w:rPr>
        <w:t xml:space="preserve"> frequencies the voltage and current combining methods are limited due to the wavelength. In general terms, the overall size of the transistor cell must be kept less than about 1/10th of the wavelength. Therefore</w:t>
      </w:r>
      <w:r>
        <w:rPr>
          <w:rFonts w:ascii="Arial" w:hAnsi="Arial" w:cs="Arial"/>
          <w:lang w:val="en-US"/>
        </w:rPr>
        <w:t xml:space="preserve">, </w:t>
      </w:r>
      <w:r w:rsidRPr="00293EFC">
        <w:rPr>
          <w:rFonts w:ascii="Arial" w:hAnsi="Arial" w:cs="Arial"/>
          <w:lang w:val="en-US"/>
        </w:rPr>
        <w:t>combining</w:t>
      </w:r>
      <w:r>
        <w:rPr>
          <w:rFonts w:ascii="Arial" w:hAnsi="Arial" w:cs="Arial"/>
          <w:lang w:val="en-US"/>
        </w:rPr>
        <w:t xml:space="preserve"> topologies are required</w:t>
      </w:r>
      <w:r w:rsidRPr="00293EFC">
        <w:rPr>
          <w:rFonts w:ascii="Arial" w:hAnsi="Arial" w:cs="Arial"/>
          <w:lang w:val="en-US"/>
        </w:rPr>
        <w:t xml:space="preserve"> </w:t>
      </w:r>
      <w:r>
        <w:rPr>
          <w:rFonts w:ascii="Arial" w:hAnsi="Arial" w:cs="Arial"/>
          <w:lang w:val="en-US"/>
        </w:rPr>
        <w:t xml:space="preserve">to </w:t>
      </w:r>
      <w:r w:rsidRPr="00293EFC">
        <w:rPr>
          <w:rFonts w:ascii="Arial" w:hAnsi="Arial" w:cs="Arial"/>
          <w:lang w:val="en-US"/>
        </w:rPr>
        <w:t xml:space="preserve">achieve larger output power. </w:t>
      </w:r>
    </w:p>
    <w:p w14:paraId="4C5A7877" w14:textId="529BD8AF" w:rsidR="007B5B39" w:rsidRDefault="007B5B39" w:rsidP="007B5B39">
      <w:pPr>
        <w:rPr>
          <w:rFonts w:ascii="Arial" w:hAnsi="Arial" w:cs="Arial"/>
          <w:lang w:val="en-US"/>
        </w:rPr>
      </w:pPr>
      <w:r w:rsidRPr="00293EFC">
        <w:rPr>
          <w:rFonts w:ascii="Arial" w:hAnsi="Arial" w:cs="Arial"/>
          <w:lang w:val="en-US"/>
        </w:rPr>
        <w:t>Next,</w:t>
      </w:r>
      <w:r>
        <w:rPr>
          <w:rFonts w:ascii="Arial" w:hAnsi="Arial" w:cs="Arial"/>
          <w:lang w:val="en-US"/>
        </w:rPr>
        <w:t xml:space="preserve"> we</w:t>
      </w:r>
      <w:r w:rsidRPr="00293EFC">
        <w:rPr>
          <w:rFonts w:ascii="Arial" w:hAnsi="Arial" w:cs="Arial"/>
          <w:lang w:val="en-US"/>
        </w:rPr>
        <w:t xml:space="preserve"> shortly describe the challenges for the PA and LNA design, while given a rough estimate of the expected output power </w:t>
      </w:r>
      <w:r>
        <w:rPr>
          <w:rFonts w:ascii="Arial" w:hAnsi="Arial" w:cs="Arial"/>
          <w:lang w:val="en-US"/>
        </w:rPr>
        <w:t>f</w:t>
      </w:r>
      <w:r w:rsidRPr="00293EFC">
        <w:rPr>
          <w:rFonts w:ascii="Arial" w:hAnsi="Arial" w:cs="Arial"/>
          <w:lang w:val="en-US"/>
        </w:rPr>
        <w:t>or the PA and noise figure for the LNA when considering the wideband 60 GHz operation</w:t>
      </w:r>
      <w:r>
        <w:rPr>
          <w:rFonts w:ascii="Arial" w:hAnsi="Arial" w:cs="Arial"/>
          <w:lang w:val="en-US"/>
        </w:rPr>
        <w:t>.</w:t>
      </w:r>
    </w:p>
    <w:p w14:paraId="3FD48B30" w14:textId="77777777" w:rsidR="00F36FBC" w:rsidRDefault="00F36FBC" w:rsidP="007B5B39">
      <w:pPr>
        <w:rPr>
          <w:rFonts w:ascii="Arial" w:hAnsi="Arial" w:cs="Arial"/>
          <w:lang w:val="en-US"/>
        </w:rPr>
      </w:pPr>
    </w:p>
    <w:p w14:paraId="17E466A4" w14:textId="77777777" w:rsidR="007B5B39" w:rsidRDefault="007B5B39" w:rsidP="007B5B39">
      <w:pPr>
        <w:rPr>
          <w:rFonts w:ascii="Arial" w:hAnsi="Arial" w:cs="Arial"/>
          <w:b/>
          <w:bCs/>
          <w:lang w:val="en-US"/>
        </w:rPr>
      </w:pPr>
      <w:r>
        <w:rPr>
          <w:rFonts w:ascii="Arial" w:hAnsi="Arial" w:cs="Arial"/>
          <w:b/>
          <w:bCs/>
          <w:lang w:val="en-US"/>
        </w:rPr>
        <w:t>Power amplifier (PA) challenges at 60 GHz</w:t>
      </w:r>
    </w:p>
    <w:p w14:paraId="5B444BAB" w14:textId="77777777" w:rsidR="007B5B39" w:rsidRPr="00E523D3" w:rsidRDefault="007B5B39" w:rsidP="007B5B39">
      <w:pPr>
        <w:rPr>
          <w:rFonts w:ascii="Arial" w:hAnsi="Arial" w:cs="Arial"/>
          <w:lang w:val="en-US"/>
        </w:rPr>
      </w:pPr>
      <w:r>
        <w:rPr>
          <w:rFonts w:ascii="Arial" w:hAnsi="Arial" w:cs="Arial"/>
          <w:lang w:val="en-US"/>
        </w:rPr>
        <w:t xml:space="preserve">The design of high-power efficient PA becomes challenging due to the low power gain of transistors and low breakdown voltage at 60 GHz frequency. </w:t>
      </w:r>
      <w:r w:rsidRPr="00833699">
        <w:rPr>
          <w:rFonts w:ascii="Arial" w:hAnsi="Arial" w:cs="Arial"/>
          <w:lang w:val="en-US"/>
        </w:rPr>
        <w:t>The power handling capability decreases with the downscaling of the CMOS technologies resulting in a reduction of the breakdown voltage of the CMOS transistors</w:t>
      </w:r>
      <w:r>
        <w:rPr>
          <w:rFonts w:ascii="Arial" w:hAnsi="Arial" w:cs="Arial"/>
          <w:lang w:val="en-US"/>
        </w:rPr>
        <w:t>. A single stage implementation delivers low power gain because of the low maximum frequency operation f</w:t>
      </w:r>
      <w:r w:rsidRPr="00530E61">
        <w:rPr>
          <w:rFonts w:ascii="Arial" w:hAnsi="Arial" w:cs="Arial"/>
          <w:vertAlign w:val="subscript"/>
          <w:lang w:val="en-US"/>
        </w:rPr>
        <w:t>max</w:t>
      </w:r>
      <w:r>
        <w:rPr>
          <w:rFonts w:ascii="Arial" w:hAnsi="Arial" w:cs="Arial"/>
          <w:lang w:val="en-US"/>
        </w:rPr>
        <w:t xml:space="preserve"> of the device. Additional stages are required to enable power combining and to increase the maximum saturated output power. However, the multi-stages designs introduce more power losses, while consuming higher dc power and thus limiting the maximum power added efficiency (PAE). </w:t>
      </w:r>
    </w:p>
    <w:p w14:paraId="4B5AE26F" w14:textId="4102BE85" w:rsidR="007B5B39" w:rsidRDefault="00946157" w:rsidP="007B5B39">
      <w:pPr>
        <w:keepNext/>
        <w:jc w:val="center"/>
      </w:pPr>
      <w:r>
        <w:rPr>
          <w:rFonts w:ascii="Arial" w:hAnsi="Arial" w:cs="Arial"/>
          <w:noProof/>
          <w:lang w:val="en-US"/>
        </w:rPr>
        <w:drawing>
          <wp:inline distT="0" distB="0" distL="0" distR="0" wp14:anchorId="2153BC40" wp14:editId="4B06A880">
            <wp:extent cx="3554730" cy="2885521"/>
            <wp:effectExtent l="0" t="0" r="1270" b="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99974" cy="2922247"/>
                    </a:xfrm>
                    <a:prstGeom prst="rect">
                      <a:avLst/>
                    </a:prstGeom>
                  </pic:spPr>
                </pic:pic>
              </a:graphicData>
            </a:graphic>
          </wp:inline>
        </w:drawing>
      </w:r>
    </w:p>
    <w:p w14:paraId="78ADAB97" w14:textId="77777777" w:rsidR="007B5B39" w:rsidRPr="007F7E36" w:rsidRDefault="007B5B39" w:rsidP="007B5B39">
      <w:pPr>
        <w:pStyle w:val="Caption"/>
        <w:jc w:val="center"/>
        <w:rPr>
          <w:rFonts w:ascii="Arial" w:hAnsi="Arial" w:cs="Arial"/>
          <w:i w:val="0"/>
          <w:iCs w:val="0"/>
          <w:color w:val="000000" w:themeColor="text1"/>
          <w:sz w:val="20"/>
          <w:szCs w:val="20"/>
          <w:lang w:val="en-US"/>
        </w:rPr>
      </w:pPr>
      <w:r w:rsidRPr="007F7E36">
        <w:rPr>
          <w:color w:val="000000" w:themeColor="text1"/>
          <w:sz w:val="20"/>
          <w:szCs w:val="20"/>
        </w:rPr>
        <w:t xml:space="preserve">Figure </w:t>
      </w:r>
      <w:r w:rsidRPr="007F7E36">
        <w:rPr>
          <w:color w:val="000000" w:themeColor="text1"/>
          <w:sz w:val="20"/>
          <w:szCs w:val="20"/>
        </w:rPr>
        <w:fldChar w:fldCharType="begin"/>
      </w:r>
      <w:r w:rsidRPr="007F7E36">
        <w:rPr>
          <w:color w:val="000000" w:themeColor="text1"/>
          <w:sz w:val="20"/>
          <w:szCs w:val="20"/>
        </w:rPr>
        <w:instrText xml:space="preserve"> SEQ Figure \* ARABIC </w:instrText>
      </w:r>
      <w:r w:rsidRPr="007F7E36">
        <w:rPr>
          <w:color w:val="000000" w:themeColor="text1"/>
          <w:sz w:val="20"/>
          <w:szCs w:val="20"/>
        </w:rPr>
        <w:fldChar w:fldCharType="separate"/>
      </w:r>
      <w:r w:rsidRPr="007F7E36">
        <w:rPr>
          <w:noProof/>
          <w:color w:val="000000" w:themeColor="text1"/>
          <w:sz w:val="20"/>
          <w:szCs w:val="20"/>
        </w:rPr>
        <w:t>1</w:t>
      </w:r>
      <w:r w:rsidRPr="007F7E36">
        <w:rPr>
          <w:color w:val="000000" w:themeColor="text1"/>
          <w:sz w:val="20"/>
          <w:szCs w:val="20"/>
        </w:rPr>
        <w:fldChar w:fldCharType="end"/>
      </w:r>
      <w:r w:rsidRPr="007F7E36">
        <w:rPr>
          <w:color w:val="000000" w:themeColor="text1"/>
          <w:sz w:val="20"/>
          <w:szCs w:val="20"/>
          <w:lang w:val="en-US"/>
        </w:rPr>
        <w:t>: PA performance overview for all FR2 bands</w:t>
      </w:r>
    </w:p>
    <w:p w14:paraId="304268E9" w14:textId="0BB12832" w:rsidR="007B5B39" w:rsidRDefault="007B5B39" w:rsidP="007B5B39">
      <w:pPr>
        <w:rPr>
          <w:rFonts w:ascii="Arial" w:hAnsi="Arial" w:cs="Arial"/>
          <w:lang w:val="en-US"/>
        </w:rPr>
      </w:pPr>
      <w:r>
        <w:rPr>
          <w:rFonts w:ascii="Arial" w:hAnsi="Arial" w:cs="Arial"/>
          <w:lang w:val="en-US"/>
        </w:rPr>
        <w:lastRenderedPageBreak/>
        <w:t>Figure 1 shows an overview of the PA performance for all FR2 bands. The plot considers the parameters used for the estimation of the min. peak EIRP for the FR2 bands. Due to the challenge to obtain high output power at high frequency and based on mentioned observations, we expect a greater degradation on the output power for the 60 GHz band. The worse linearity of the PA will require a significant power back-off. From this extrapolation we expect a power degradation between 4.5 and 5.5 dB compared to band n262. It is also worth noticing that the fractional BW for 60 GHz is much larger compared to the other FR2 bands. This introduces an additional challenge to achieve wideband matching, while not compromising on the power gain of the wideband PA.</w:t>
      </w:r>
    </w:p>
    <w:p w14:paraId="5E6016DF" w14:textId="7213DC52" w:rsidR="007B5B39" w:rsidRDefault="007B5B39" w:rsidP="00157E2B">
      <w:pPr>
        <w:rPr>
          <w:rFonts w:ascii="Arial" w:hAnsi="Arial" w:cs="Arial"/>
          <w:i/>
          <w:iCs/>
          <w:lang w:val="en-US"/>
        </w:rPr>
      </w:pPr>
      <w:r w:rsidRPr="007E5AE9">
        <w:rPr>
          <w:rFonts w:ascii="Arial" w:hAnsi="Arial" w:cs="Arial"/>
          <w:b/>
          <w:bCs/>
          <w:i/>
          <w:iCs/>
        </w:rPr>
        <w:t xml:space="preserve">Observation </w:t>
      </w:r>
      <w:r w:rsidR="00E97CE5">
        <w:rPr>
          <w:rFonts w:ascii="Arial" w:hAnsi="Arial" w:cs="Arial"/>
          <w:b/>
          <w:bCs/>
          <w:i/>
          <w:iCs/>
        </w:rPr>
        <w:t>1</w:t>
      </w:r>
      <w:r w:rsidRPr="007E5AE9">
        <w:rPr>
          <w:rFonts w:ascii="Arial" w:hAnsi="Arial" w:cs="Arial"/>
          <w:i/>
          <w:iCs/>
        </w:rPr>
        <w:t xml:space="preserve">: </w:t>
      </w:r>
      <w:r w:rsidRPr="0042112A">
        <w:rPr>
          <w:rFonts w:ascii="Arial" w:hAnsi="Arial" w:cs="Arial"/>
          <w:i/>
          <w:iCs/>
          <w:lang w:val="en-US"/>
        </w:rPr>
        <w:t xml:space="preserve">The worse linearity of the PA will require a significant power back-off. </w:t>
      </w:r>
      <w:r>
        <w:rPr>
          <w:rFonts w:ascii="Arial" w:hAnsi="Arial" w:cs="Arial"/>
          <w:i/>
          <w:iCs/>
          <w:lang w:val="en-US"/>
        </w:rPr>
        <w:t>We</w:t>
      </w:r>
      <w:r w:rsidRPr="0042112A">
        <w:rPr>
          <w:rFonts w:ascii="Arial" w:hAnsi="Arial" w:cs="Arial"/>
          <w:i/>
          <w:iCs/>
          <w:lang w:val="en-US"/>
        </w:rPr>
        <w:t xml:space="preserve"> expect a power degradation between </w:t>
      </w:r>
      <w:r>
        <w:rPr>
          <w:rFonts w:ascii="Arial" w:hAnsi="Arial" w:cs="Arial"/>
          <w:i/>
          <w:iCs/>
          <w:lang w:val="en-US"/>
        </w:rPr>
        <w:t>4</w:t>
      </w:r>
      <w:r w:rsidRPr="0042112A">
        <w:rPr>
          <w:rFonts w:ascii="Arial" w:hAnsi="Arial" w:cs="Arial"/>
          <w:i/>
          <w:iCs/>
          <w:lang w:val="en-US"/>
        </w:rPr>
        <w:t xml:space="preserve">.5 and </w:t>
      </w:r>
      <w:r w:rsidR="00253E22">
        <w:rPr>
          <w:rFonts w:ascii="Arial" w:hAnsi="Arial" w:cs="Arial"/>
          <w:i/>
          <w:iCs/>
          <w:lang w:val="en-US"/>
        </w:rPr>
        <w:t>5</w:t>
      </w:r>
      <w:r w:rsidRPr="0042112A">
        <w:rPr>
          <w:rFonts w:ascii="Arial" w:hAnsi="Arial" w:cs="Arial"/>
          <w:i/>
          <w:iCs/>
          <w:lang w:val="en-US"/>
        </w:rPr>
        <w:t>.5 dB compared to band n262</w:t>
      </w:r>
    </w:p>
    <w:p w14:paraId="5FD611C9" w14:textId="77777777" w:rsidR="007B5B39" w:rsidRDefault="007B5B39" w:rsidP="007B5B39">
      <w:pPr>
        <w:rPr>
          <w:rFonts w:ascii="Arial" w:hAnsi="Arial" w:cs="Arial"/>
          <w:b/>
          <w:bCs/>
          <w:lang w:val="en-US"/>
        </w:rPr>
      </w:pPr>
    </w:p>
    <w:p w14:paraId="4F82B204" w14:textId="48938EB2" w:rsidR="007B5B39" w:rsidRDefault="007B5B39" w:rsidP="007B5B39">
      <w:pPr>
        <w:rPr>
          <w:rFonts w:ascii="Arial" w:hAnsi="Arial" w:cs="Arial"/>
          <w:b/>
          <w:bCs/>
          <w:lang w:val="en-US"/>
        </w:rPr>
      </w:pPr>
      <w:r>
        <w:rPr>
          <w:rFonts w:ascii="Arial" w:hAnsi="Arial" w:cs="Arial"/>
          <w:b/>
          <w:bCs/>
          <w:lang w:val="en-US"/>
        </w:rPr>
        <w:t>Low Noise Amplifier (LNA) challenges at 60 GHz</w:t>
      </w:r>
    </w:p>
    <w:p w14:paraId="39227436" w14:textId="77777777" w:rsidR="007B5B39" w:rsidRDefault="007B5B39" w:rsidP="00157E2B">
      <w:pPr>
        <w:rPr>
          <w:rFonts w:ascii="Arial" w:hAnsi="Arial" w:cs="Arial"/>
          <w:i/>
          <w:iCs/>
          <w:lang w:val="en-US"/>
        </w:rPr>
      </w:pPr>
      <w:r w:rsidRPr="007B5B39">
        <w:rPr>
          <w:rFonts w:ascii="Arial" w:hAnsi="Arial" w:cs="Arial"/>
          <w:lang w:val="en-US"/>
        </w:rPr>
        <w:t>The LNA is the first active block in the receiver chain and key component on the estimation of the noise performance of the whole system. The design of the LNA can be extremely challenging since it needs to achieve high gain, low noise and low dc power consumptions. Among these specifications, NF is one of the most elemental parameters.</w:t>
      </w:r>
      <w:r w:rsidRPr="007B5B39">
        <w:rPr>
          <w:rFonts w:ascii="Arial" w:hAnsi="Arial" w:cs="Arial"/>
          <w:i/>
          <w:iCs/>
          <w:lang w:val="en-US"/>
        </w:rPr>
        <w:t xml:space="preserve"> </w:t>
      </w:r>
    </w:p>
    <w:p w14:paraId="6BD81601" w14:textId="5108E05B" w:rsidR="007B5B39" w:rsidRDefault="007B5B39" w:rsidP="00157E2B">
      <w:pPr>
        <w:rPr>
          <w:rFonts w:ascii="Arial" w:hAnsi="Arial" w:cs="Arial"/>
          <w:lang w:val="en-US"/>
        </w:rPr>
      </w:pPr>
      <w:r w:rsidRPr="007B5B39">
        <w:rPr>
          <w:rFonts w:ascii="Arial" w:hAnsi="Arial" w:cs="Arial"/>
          <w:lang w:val="en-US"/>
        </w:rPr>
        <w:t>The larger the frequency, the more difficult is to achieve high power gain. Thus, multi- stages are required. For the LNA implementation a common-source configuration is usually adopted to achieve low supply voltage requirements. Traditionally, CS, CG and cascode are usually used as the first stage in LNA design. The main issue of additional stages is the increases on the noise contribution. The reduction of the noise contribution requires resonant inductors, which translates into larger area. Inductances and capacitances become more complex, due to increased losses in dielectric substrates and conductors, and to coupling effects, which become significant as the frequency rises</w:t>
      </w:r>
    </w:p>
    <w:p w14:paraId="7BB0F999" w14:textId="77777777" w:rsidR="007B5B39" w:rsidRDefault="007B5B39" w:rsidP="007B5B39">
      <w:pPr>
        <w:jc w:val="center"/>
        <w:rPr>
          <w:rFonts w:ascii="Arial" w:hAnsi="Arial" w:cs="Arial"/>
          <w:b/>
          <w:bCs/>
          <w:lang w:val="en-US"/>
        </w:rPr>
      </w:pPr>
      <w:r>
        <w:rPr>
          <w:rFonts w:ascii="Arial" w:hAnsi="Arial" w:cs="Arial"/>
          <w:noProof/>
        </w:rPr>
        <w:drawing>
          <wp:inline distT="0" distB="0" distL="0" distR="0" wp14:anchorId="55C4B215" wp14:editId="473459E8">
            <wp:extent cx="3756660" cy="2817592"/>
            <wp:effectExtent l="0" t="0" r="2540" b="1905"/>
            <wp:docPr id="12" name="Picture 1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scatter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53933" cy="2890550"/>
                    </a:xfrm>
                    <a:prstGeom prst="rect">
                      <a:avLst/>
                    </a:prstGeom>
                  </pic:spPr>
                </pic:pic>
              </a:graphicData>
            </a:graphic>
          </wp:inline>
        </w:drawing>
      </w:r>
    </w:p>
    <w:p w14:paraId="4F644C01" w14:textId="77777777" w:rsidR="007B5B39" w:rsidRPr="007429CC" w:rsidRDefault="007B5B39" w:rsidP="007B5B39">
      <w:pPr>
        <w:pStyle w:val="Caption"/>
        <w:jc w:val="center"/>
        <w:rPr>
          <w:rFonts w:ascii="Arial" w:hAnsi="Arial" w:cs="Arial"/>
          <w:i w:val="0"/>
          <w:iCs w:val="0"/>
          <w:color w:val="000000" w:themeColor="text1"/>
          <w:sz w:val="21"/>
          <w:szCs w:val="21"/>
          <w:lang w:val="en-US"/>
        </w:rPr>
      </w:pPr>
      <w:r w:rsidRPr="007429CC">
        <w:rPr>
          <w:color w:val="000000" w:themeColor="text1"/>
          <w:sz w:val="21"/>
          <w:szCs w:val="21"/>
        </w:rPr>
        <w:t xml:space="preserve">Figure </w:t>
      </w:r>
      <w:r w:rsidRPr="007429CC">
        <w:rPr>
          <w:color w:val="000000" w:themeColor="text1"/>
          <w:sz w:val="21"/>
          <w:szCs w:val="21"/>
          <w:lang w:val="en-US"/>
        </w:rPr>
        <w:t>2: LNA performance overview for all FR2 bands</w:t>
      </w:r>
    </w:p>
    <w:p w14:paraId="0597B44F" w14:textId="2F70F493" w:rsidR="007B5B39" w:rsidRDefault="007B5B39" w:rsidP="00157E2B">
      <w:pPr>
        <w:rPr>
          <w:rFonts w:ascii="Arial" w:hAnsi="Arial" w:cs="Arial"/>
          <w:lang w:val="en-US"/>
        </w:rPr>
      </w:pPr>
      <w:r w:rsidRPr="000B5B04">
        <w:rPr>
          <w:rFonts w:ascii="Arial" w:hAnsi="Arial" w:cs="Arial"/>
          <w:lang w:val="en-US"/>
        </w:rPr>
        <w:t>An overview of the LNA NF performance for all FR2 bands is given in Figure 2. The overview considers the parameters used for the estimation of the min. peak EIS for the FR2 bands. As mentioned earlier, the multi-stage topologies are required to provide enough gain, which consume more power and area, and lead to poorer linearity and higher noise. This is one of the reasons that 60 GHz LNAs have poorer performance relative to low frequency LNAs.  LNAs suffer from low gain and high noise due to the transistors operating closer to their cutoff frequencies. Therefore, we expect a further degradation for the 60 GHz band NF. From this extrapolation the NF degradation is between 3.5 and 4.5 dB compared to band n262</w:t>
      </w:r>
      <w:r>
        <w:rPr>
          <w:rFonts w:ascii="Arial" w:hAnsi="Arial" w:cs="Arial"/>
          <w:lang w:val="en-US"/>
        </w:rPr>
        <w:t>.</w:t>
      </w:r>
    </w:p>
    <w:p w14:paraId="534071D8" w14:textId="2139E704" w:rsidR="00F36FBC" w:rsidRPr="00621584" w:rsidRDefault="007B5B39" w:rsidP="00157E2B">
      <w:pPr>
        <w:rPr>
          <w:rFonts w:ascii="Arial" w:hAnsi="Arial" w:cs="Arial"/>
          <w:i/>
          <w:iCs/>
        </w:rPr>
      </w:pPr>
      <w:r w:rsidRPr="007E5AE9">
        <w:rPr>
          <w:rFonts w:ascii="Arial" w:hAnsi="Arial" w:cs="Arial"/>
          <w:b/>
          <w:bCs/>
          <w:i/>
          <w:iCs/>
        </w:rPr>
        <w:t xml:space="preserve">Observation </w:t>
      </w:r>
      <w:r w:rsidR="00E97CE5">
        <w:rPr>
          <w:rFonts w:ascii="Arial" w:hAnsi="Arial" w:cs="Arial"/>
          <w:b/>
          <w:bCs/>
          <w:i/>
          <w:iCs/>
        </w:rPr>
        <w:t>2</w:t>
      </w:r>
      <w:r w:rsidRPr="007B5B39">
        <w:rPr>
          <w:rFonts w:ascii="Arial" w:hAnsi="Arial" w:cs="Arial"/>
          <w:b/>
          <w:bCs/>
          <w:i/>
          <w:iCs/>
        </w:rPr>
        <w:t xml:space="preserve">: </w:t>
      </w:r>
      <w:r w:rsidRPr="007B5B39">
        <w:rPr>
          <w:rFonts w:ascii="Arial" w:hAnsi="Arial" w:cs="Arial"/>
          <w:i/>
          <w:iCs/>
        </w:rPr>
        <w:t>LNAs suffer from low gain and high noise due to the transistors operating closer to their cut</w:t>
      </w:r>
      <w:r w:rsidR="00E97CE5">
        <w:rPr>
          <w:rFonts w:ascii="Arial" w:hAnsi="Arial" w:cs="Arial"/>
          <w:i/>
          <w:iCs/>
        </w:rPr>
        <w:t>-</w:t>
      </w:r>
      <w:r w:rsidRPr="007B5B39">
        <w:rPr>
          <w:rFonts w:ascii="Arial" w:hAnsi="Arial" w:cs="Arial"/>
          <w:i/>
          <w:iCs/>
        </w:rPr>
        <w:t>off frequencies. From this extrapolation the NF degradation is between 3.5 and 4.5 dB compared to band</w:t>
      </w:r>
      <w:r>
        <w:rPr>
          <w:rFonts w:ascii="Arial" w:hAnsi="Arial" w:cs="Arial"/>
          <w:i/>
          <w:iCs/>
        </w:rPr>
        <w:t xml:space="preserve"> n262.</w:t>
      </w:r>
    </w:p>
    <w:p w14:paraId="59847156" w14:textId="76AAA26D" w:rsidR="00157E2B" w:rsidRDefault="00157E2B" w:rsidP="00157E2B">
      <w:pPr>
        <w:pStyle w:val="Heading2"/>
      </w:pPr>
      <w:r>
        <w:lastRenderedPageBreak/>
        <w:t>2.2</w:t>
      </w:r>
      <w:r>
        <w:tab/>
      </w:r>
      <w:r>
        <w:tab/>
        <w:t>Transient requirements</w:t>
      </w:r>
    </w:p>
    <w:p w14:paraId="48FCDBD7" w14:textId="77777777" w:rsidR="00157E2B" w:rsidRDefault="00157E2B" w:rsidP="00157E2B">
      <w:pPr>
        <w:spacing w:after="0"/>
        <w:jc w:val="both"/>
        <w:rPr>
          <w:rFonts w:ascii="Arial" w:hAnsi="Arial" w:cs="Arial"/>
        </w:rPr>
      </w:pPr>
      <w:r>
        <w:rPr>
          <w:rFonts w:ascii="Arial" w:hAnsi="Arial" w:cs="Arial"/>
        </w:rPr>
        <w:t xml:space="preserve">The RAN1 LS in </w:t>
      </w:r>
      <w:r>
        <w:rPr>
          <w:rFonts w:ascii="Arial" w:hAnsi="Arial" w:cs="Arial"/>
        </w:rPr>
        <w:fldChar w:fldCharType="begin"/>
      </w:r>
      <w:r>
        <w:rPr>
          <w:rFonts w:ascii="Arial" w:hAnsi="Arial" w:cs="Arial"/>
        </w:rPr>
        <w:instrText xml:space="preserve"> REF _Ref68207928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contains the following information and questions:</w:t>
      </w:r>
    </w:p>
    <w:p w14:paraId="278A9AA7" w14:textId="77777777" w:rsidR="00157E2B" w:rsidRDefault="00157E2B" w:rsidP="00157E2B">
      <w:pPr>
        <w:spacing w:after="0"/>
        <w:jc w:val="both"/>
        <w:rPr>
          <w:rFonts w:ascii="Arial" w:hAnsi="Arial" w:cs="Arial"/>
        </w:rPr>
      </w:pPr>
    </w:p>
    <w:tbl>
      <w:tblPr>
        <w:tblStyle w:val="TableGrid"/>
        <w:tblW w:w="0" w:type="auto"/>
        <w:tblLook w:val="04A0" w:firstRow="1" w:lastRow="0" w:firstColumn="1" w:lastColumn="0" w:noHBand="0" w:noVBand="1"/>
      </w:tblPr>
      <w:tblGrid>
        <w:gridCol w:w="9631"/>
      </w:tblGrid>
      <w:tr w:rsidR="00157E2B" w14:paraId="0A2582FC" w14:textId="77777777" w:rsidTr="001518C7">
        <w:tc>
          <w:tcPr>
            <w:tcW w:w="9631" w:type="dxa"/>
          </w:tcPr>
          <w:p w14:paraId="0B5BC074" w14:textId="77777777" w:rsidR="00157E2B" w:rsidRDefault="00157E2B" w:rsidP="001518C7">
            <w:pPr>
              <w:rPr>
                <w:rFonts w:ascii="Arial" w:hAnsi="Arial" w:cs="Arial"/>
              </w:rPr>
            </w:pPr>
            <w:r w:rsidRPr="0068727F">
              <w:rPr>
                <w:rFonts w:ascii="Arial" w:hAnsi="Arial" w:cs="Arial"/>
              </w:rPr>
              <w:t xml:space="preserve">RAN1 </w:t>
            </w:r>
            <w:r>
              <w:rPr>
                <w:rFonts w:ascii="Arial" w:hAnsi="Arial" w:cs="Arial"/>
              </w:rPr>
              <w:t>would like to ask RAN4 on time required for gNBs and UEs operating in 52.6 GHz to 71 GHz to perform the following operations:</w:t>
            </w:r>
          </w:p>
          <w:p w14:paraId="59F2D611" w14:textId="77777777" w:rsidR="00157E2B" w:rsidRDefault="00157E2B" w:rsidP="001518C7">
            <w:pPr>
              <w:pStyle w:val="ListParagraph"/>
              <w:numPr>
                <w:ilvl w:val="0"/>
                <w:numId w:val="15"/>
              </w:numPr>
              <w:spacing w:after="0"/>
              <w:contextualSpacing w:val="0"/>
              <w:rPr>
                <w:rFonts w:ascii="Arial" w:hAnsi="Arial" w:cs="Arial"/>
              </w:rPr>
            </w:pPr>
            <w:r>
              <w:rPr>
                <w:rFonts w:ascii="Arial" w:hAnsi="Arial" w:cs="Arial"/>
              </w:rPr>
              <w:t>Switching Tx beams</w:t>
            </w:r>
          </w:p>
          <w:p w14:paraId="540B1F4B" w14:textId="77777777" w:rsidR="00157E2B" w:rsidRDefault="00157E2B" w:rsidP="001518C7">
            <w:pPr>
              <w:pStyle w:val="ListParagraph"/>
              <w:numPr>
                <w:ilvl w:val="0"/>
                <w:numId w:val="15"/>
              </w:numPr>
              <w:spacing w:after="0"/>
              <w:contextualSpacing w:val="0"/>
              <w:rPr>
                <w:rFonts w:ascii="Arial" w:hAnsi="Arial" w:cs="Arial"/>
              </w:rPr>
            </w:pPr>
            <w:r>
              <w:rPr>
                <w:rFonts w:ascii="Arial" w:hAnsi="Arial" w:cs="Arial"/>
              </w:rPr>
              <w:t>Switching Rx beams</w:t>
            </w:r>
          </w:p>
          <w:p w14:paraId="49BC6746" w14:textId="77777777" w:rsidR="00157E2B" w:rsidRDefault="00157E2B" w:rsidP="001518C7">
            <w:pPr>
              <w:pStyle w:val="ListParagraph"/>
              <w:numPr>
                <w:ilvl w:val="0"/>
                <w:numId w:val="15"/>
              </w:numPr>
              <w:spacing w:after="0"/>
              <w:contextualSpacing w:val="0"/>
              <w:rPr>
                <w:rFonts w:ascii="Arial" w:hAnsi="Arial" w:cs="Arial"/>
              </w:rPr>
            </w:pPr>
            <w:r>
              <w:rPr>
                <w:rFonts w:ascii="Arial" w:hAnsi="Arial" w:cs="Arial"/>
              </w:rPr>
              <w:t>Switching from DL to UL</w:t>
            </w:r>
          </w:p>
          <w:p w14:paraId="5BD2B8E7" w14:textId="77777777" w:rsidR="00157E2B" w:rsidRPr="006072A1" w:rsidRDefault="00157E2B" w:rsidP="001518C7">
            <w:pPr>
              <w:pStyle w:val="ListParagraph"/>
              <w:numPr>
                <w:ilvl w:val="0"/>
                <w:numId w:val="15"/>
              </w:numPr>
              <w:spacing w:after="0"/>
              <w:contextualSpacing w:val="0"/>
              <w:rPr>
                <w:rFonts w:ascii="Arial" w:hAnsi="Arial" w:cs="Arial"/>
              </w:rPr>
            </w:pPr>
            <w:r>
              <w:rPr>
                <w:rFonts w:ascii="Arial" w:hAnsi="Arial" w:cs="Arial"/>
              </w:rPr>
              <w:t xml:space="preserve">Switching from UL to DL </w:t>
            </w:r>
          </w:p>
          <w:p w14:paraId="3E0C52E8" w14:textId="77777777" w:rsidR="00157E2B" w:rsidRDefault="00157E2B" w:rsidP="001518C7">
            <w:pPr>
              <w:rPr>
                <w:rFonts w:ascii="Arial" w:hAnsi="Arial" w:cs="Arial"/>
              </w:rPr>
            </w:pPr>
            <w:r>
              <w:rPr>
                <w:rFonts w:ascii="Arial" w:hAnsi="Arial" w:cs="Arial"/>
              </w:rPr>
              <w:br/>
              <w:t>In RAN1’s understanding, switching Tx/Rx beams was assumed to be in the order of 100ns (based on TR38.317-2 Section 9.10.2)”, which could be absorbed by the CP with subcarrier spacing supported for Rel-15/16 NR operating in FR2. RAN1 would like to ask RAN4 on whether similar assumption could be made for frequencies between 52.6 ~ 71 GHz and if not, what is the expected time required for Tx and Rx beam switching operations for both gNB and UEs.</w:t>
            </w:r>
          </w:p>
          <w:p w14:paraId="79D551B7" w14:textId="77777777" w:rsidR="00157E2B" w:rsidRDefault="00157E2B" w:rsidP="001518C7">
            <w:pPr>
              <w:rPr>
                <w:rFonts w:ascii="Arial" w:hAnsi="Arial" w:cs="Arial"/>
              </w:rPr>
            </w:pPr>
            <w:r>
              <w:rPr>
                <w:rFonts w:ascii="Arial" w:hAnsi="Arial" w:cs="Arial"/>
              </w:rPr>
              <w:t>Additionally, in RAN1’s understanding, switching from DL-to-UL or UL-to-DL requires up to 13792 Tc (=7.015 µsec) for Rel-15/16 NR operating in FR2 (as specified in 38.211 Section 4.3.2 based on R4-1805766). RAN1 would like to ask RAN4 on whether similar assumption could be made for frequencies between 52.6 ~ 71 GHz</w:t>
            </w:r>
            <w:r w:rsidRPr="007070C1">
              <w:rPr>
                <w:rFonts w:ascii="Arial" w:hAnsi="Arial" w:cs="Arial"/>
              </w:rPr>
              <w:t xml:space="preserve"> </w:t>
            </w:r>
            <w:r>
              <w:rPr>
                <w:rFonts w:ascii="Arial" w:hAnsi="Arial" w:cs="Arial"/>
              </w:rPr>
              <w:t>and if not, what is the expected time required for DL-to-UL and UL-to-DL switching operations for both gNB and UEs.</w:t>
            </w:r>
          </w:p>
          <w:p w14:paraId="07ACC59B" w14:textId="77777777" w:rsidR="00157E2B" w:rsidRDefault="00157E2B" w:rsidP="001518C7">
            <w:pPr>
              <w:spacing w:after="0"/>
              <w:jc w:val="both"/>
              <w:rPr>
                <w:rFonts w:ascii="Arial" w:hAnsi="Arial" w:cs="Arial"/>
              </w:rPr>
            </w:pPr>
            <w:r w:rsidRPr="0068727F">
              <w:rPr>
                <w:rFonts w:ascii="Arial" w:hAnsi="Arial" w:cs="Arial"/>
              </w:rPr>
              <w:t>RAN1 would like to kindly ask RAN</w:t>
            </w:r>
            <w:r>
              <w:rPr>
                <w:rFonts w:ascii="Arial" w:hAnsi="Arial" w:cs="Arial"/>
              </w:rPr>
              <w:t xml:space="preserve">4 </w:t>
            </w:r>
            <w:r w:rsidRPr="0068727F">
              <w:rPr>
                <w:rFonts w:ascii="Arial" w:hAnsi="Arial" w:cs="Arial"/>
              </w:rPr>
              <w:t xml:space="preserve">to </w:t>
            </w:r>
            <w:r>
              <w:rPr>
                <w:rFonts w:ascii="Arial" w:hAnsi="Arial" w:cs="Arial"/>
              </w:rPr>
              <w:t>provide information on the above questions</w:t>
            </w:r>
            <w:r w:rsidRPr="0068727F">
              <w:rPr>
                <w:rFonts w:ascii="Arial" w:hAnsi="Arial" w:cs="Arial"/>
              </w:rPr>
              <w:t>.</w:t>
            </w:r>
            <w:r>
              <w:rPr>
                <w:rFonts w:ascii="Arial" w:hAnsi="Arial" w:cs="Arial"/>
              </w:rPr>
              <w:t xml:space="preserve"> Please note that information on switching time may have impact to RAN1 design and specification and therefore RAN1 would benefit from obtaining this information as early as possible.</w:t>
            </w:r>
          </w:p>
        </w:tc>
      </w:tr>
    </w:tbl>
    <w:p w14:paraId="5C1EAF73" w14:textId="77777777" w:rsidR="00157E2B" w:rsidRDefault="00157E2B" w:rsidP="00157E2B">
      <w:pPr>
        <w:spacing w:after="0"/>
        <w:jc w:val="both"/>
        <w:rPr>
          <w:rFonts w:ascii="Arial" w:hAnsi="Arial" w:cs="Arial"/>
        </w:rPr>
      </w:pPr>
    </w:p>
    <w:p w14:paraId="203DA792" w14:textId="77777777" w:rsidR="00157E2B" w:rsidRDefault="00157E2B" w:rsidP="00157E2B">
      <w:pPr>
        <w:spacing w:after="0"/>
        <w:jc w:val="both"/>
        <w:rPr>
          <w:rFonts w:ascii="Arial" w:hAnsi="Arial" w:cs="Arial"/>
        </w:rPr>
      </w:pPr>
      <w:r>
        <w:rPr>
          <w:rFonts w:ascii="Arial" w:hAnsi="Arial" w:cs="Arial"/>
        </w:rPr>
        <w:t xml:space="preserve">The justification section in the WID captures the goal of the overall activity as the following </w:t>
      </w:r>
      <w:r>
        <w:rPr>
          <w:rFonts w:ascii="Arial" w:hAnsi="Arial" w:cs="Arial"/>
        </w:rPr>
        <w:fldChar w:fldCharType="begin"/>
      </w:r>
      <w:r>
        <w:rPr>
          <w:rFonts w:ascii="Arial" w:hAnsi="Arial" w:cs="Arial"/>
        </w:rPr>
        <w:instrText xml:space="preserve"> REF _Ref68207325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p w14:paraId="785248E1" w14:textId="77777777" w:rsidR="00157E2B" w:rsidRDefault="00157E2B" w:rsidP="00157E2B">
      <w:pPr>
        <w:spacing w:after="0"/>
        <w:jc w:val="both"/>
        <w:rPr>
          <w:rFonts w:ascii="Arial" w:hAnsi="Arial" w:cs="Arial"/>
        </w:rPr>
      </w:pPr>
    </w:p>
    <w:tbl>
      <w:tblPr>
        <w:tblStyle w:val="TableGrid"/>
        <w:tblW w:w="0" w:type="auto"/>
        <w:tblLook w:val="04A0" w:firstRow="1" w:lastRow="0" w:firstColumn="1" w:lastColumn="0" w:noHBand="0" w:noVBand="1"/>
      </w:tblPr>
      <w:tblGrid>
        <w:gridCol w:w="9631"/>
      </w:tblGrid>
      <w:tr w:rsidR="00157E2B" w14:paraId="572A93EC" w14:textId="77777777" w:rsidTr="001518C7">
        <w:tc>
          <w:tcPr>
            <w:tcW w:w="9631" w:type="dxa"/>
          </w:tcPr>
          <w:p w14:paraId="07C2CC77" w14:textId="77777777" w:rsidR="00157E2B" w:rsidRDefault="00157E2B" w:rsidP="001518C7">
            <w:pPr>
              <w:spacing w:after="0"/>
              <w:jc w:val="both"/>
              <w:rPr>
                <w:rFonts w:ascii="Arial" w:hAnsi="Arial" w:cs="Arial"/>
              </w:rPr>
            </w:pPr>
            <w:r w:rsidRPr="009F2B71">
              <w:rPr>
                <w:rFonts w:ascii="Arial" w:hAnsi="Arial" w:cs="Arial"/>
              </w:rPr>
              <w:t>In order to minimize the specification burden and maximize the leverage of FR2 based implementations, 3GPP has decided to extend FR2 operation up to 71GHz with the adoption of one or more new numerologies (i.e., larger subcarrier spacings).</w:t>
            </w:r>
          </w:p>
        </w:tc>
      </w:tr>
    </w:tbl>
    <w:p w14:paraId="1779A266" w14:textId="77777777" w:rsidR="00157E2B" w:rsidRDefault="00157E2B" w:rsidP="00157E2B">
      <w:pPr>
        <w:spacing w:after="0"/>
        <w:jc w:val="both"/>
        <w:rPr>
          <w:rFonts w:ascii="Arial" w:hAnsi="Arial" w:cs="Arial"/>
        </w:rPr>
      </w:pPr>
    </w:p>
    <w:p w14:paraId="3057D87B" w14:textId="77777777" w:rsidR="00157E2B" w:rsidRDefault="00157E2B" w:rsidP="00157E2B">
      <w:pPr>
        <w:spacing w:after="0"/>
        <w:jc w:val="both"/>
        <w:rPr>
          <w:rFonts w:ascii="Arial" w:hAnsi="Arial" w:cs="Arial"/>
        </w:rPr>
      </w:pPr>
      <w:r>
        <w:rPr>
          <w:rFonts w:ascii="Arial" w:hAnsi="Arial" w:cs="Arial"/>
        </w:rPr>
        <w:t>Applying this goal to transient and timing requirements, we observe that the general intention exists to leverage FR2 based implementation when realizing solutions for NR in the frequency range of 52.6 – 71 GHz.</w:t>
      </w:r>
    </w:p>
    <w:p w14:paraId="3518ADB7" w14:textId="77777777" w:rsidR="00157E2B" w:rsidRDefault="00157E2B" w:rsidP="00157E2B">
      <w:pPr>
        <w:spacing w:after="0"/>
        <w:jc w:val="both"/>
        <w:rPr>
          <w:rFonts w:ascii="Arial" w:hAnsi="Arial" w:cs="Arial"/>
        </w:rPr>
      </w:pPr>
    </w:p>
    <w:p w14:paraId="0ECD26D1" w14:textId="031B1EC5" w:rsidR="00157E2B" w:rsidRDefault="00157E2B" w:rsidP="00157E2B">
      <w:pPr>
        <w:spacing w:after="120"/>
        <w:jc w:val="both"/>
        <w:rPr>
          <w:rFonts w:ascii="Arial" w:hAnsi="Arial" w:cs="Arial"/>
        </w:rPr>
      </w:pPr>
      <w:r w:rsidRPr="007E5AE9">
        <w:rPr>
          <w:rFonts w:ascii="Arial" w:hAnsi="Arial" w:cs="Arial"/>
          <w:b/>
          <w:bCs/>
          <w:i/>
          <w:iCs/>
        </w:rPr>
        <w:t xml:space="preserve">Observation </w:t>
      </w:r>
      <w:r w:rsidR="00E97CE5">
        <w:rPr>
          <w:rFonts w:ascii="Arial" w:hAnsi="Arial" w:cs="Arial"/>
          <w:b/>
          <w:bCs/>
          <w:i/>
          <w:iCs/>
        </w:rPr>
        <w:t>3</w:t>
      </w:r>
      <w:r w:rsidRPr="007E5AE9">
        <w:rPr>
          <w:rFonts w:ascii="Arial" w:hAnsi="Arial" w:cs="Arial"/>
          <w:i/>
          <w:iCs/>
        </w:rPr>
        <w:t xml:space="preserve">: </w:t>
      </w:r>
      <w:r w:rsidRPr="0081106E">
        <w:rPr>
          <w:rFonts w:ascii="Arial" w:hAnsi="Arial" w:cs="Arial"/>
          <w:i/>
          <w:iCs/>
        </w:rPr>
        <w:t>In terms of RF hardware control timelines, leveraging of FR2 based implementations implies</w:t>
      </w:r>
      <w:r>
        <w:rPr>
          <w:rFonts w:ascii="Arial" w:hAnsi="Arial" w:cs="Arial"/>
          <w:i/>
          <w:iCs/>
        </w:rPr>
        <w:t xml:space="preserve"> reusing FR2 requirements on switching between DL and UL as well as Tx/Rx beam switching delays.</w:t>
      </w:r>
    </w:p>
    <w:p w14:paraId="6F56D187" w14:textId="77777777" w:rsidR="00157E2B" w:rsidRDefault="00157E2B" w:rsidP="00157E2B">
      <w:pPr>
        <w:spacing w:after="0"/>
        <w:jc w:val="both"/>
        <w:rPr>
          <w:rFonts w:ascii="Arial" w:hAnsi="Arial" w:cs="Arial"/>
        </w:rPr>
      </w:pPr>
      <w:r>
        <w:rPr>
          <w:rFonts w:ascii="Arial" w:hAnsi="Arial" w:cs="Arial"/>
        </w:rPr>
        <w:t>On the other hand, with the introduction of optional numerologies with SCS of 480 kHz and 960 kHz, the benefits of reducing latency in the radio link by also studying RF architectures with improved transient performance should not be overlooked.</w:t>
      </w:r>
    </w:p>
    <w:p w14:paraId="70B10B52" w14:textId="77777777" w:rsidR="00157E2B" w:rsidRDefault="00157E2B" w:rsidP="00157E2B">
      <w:pPr>
        <w:spacing w:after="0"/>
        <w:jc w:val="both"/>
        <w:rPr>
          <w:rFonts w:ascii="Arial" w:hAnsi="Arial" w:cs="Arial"/>
        </w:rPr>
      </w:pPr>
    </w:p>
    <w:p w14:paraId="530C3C8D" w14:textId="77777777" w:rsidR="00157E2B" w:rsidRDefault="00157E2B" w:rsidP="00157E2B">
      <w:pPr>
        <w:spacing w:after="0"/>
        <w:jc w:val="both"/>
        <w:rPr>
          <w:rFonts w:ascii="Arial" w:hAnsi="Arial" w:cs="Arial"/>
        </w:rPr>
      </w:pPr>
      <w:r>
        <w:rPr>
          <w:rFonts w:ascii="Arial" w:hAnsi="Arial" w:cs="Arial"/>
        </w:rPr>
        <w:t>Figure 2-2 below illustrates the Rx-Tx switching timeline assuming the existing FR2 requirement is reused for the three numerologies applicable to NR 60 GHz.</w:t>
      </w:r>
    </w:p>
    <w:p w14:paraId="177BDF7E" w14:textId="77777777" w:rsidR="00157E2B" w:rsidRDefault="00157E2B" w:rsidP="00157E2B">
      <w:pPr>
        <w:spacing w:after="0"/>
        <w:jc w:val="both"/>
        <w:rPr>
          <w:rFonts w:ascii="Arial" w:hAnsi="Arial" w:cs="Arial"/>
        </w:rPr>
      </w:pPr>
      <w:r w:rsidRPr="00AF42D4">
        <w:rPr>
          <w:rFonts w:ascii="Arial" w:hAnsi="Arial" w:cs="Arial"/>
          <w:noProof/>
        </w:rPr>
        <w:drawing>
          <wp:inline distT="0" distB="0" distL="0" distR="0" wp14:anchorId="271BDD25" wp14:editId="72FFA5C6">
            <wp:extent cx="6122035" cy="1034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034415"/>
                    </a:xfrm>
                    <a:prstGeom prst="rect">
                      <a:avLst/>
                    </a:prstGeom>
                  </pic:spPr>
                </pic:pic>
              </a:graphicData>
            </a:graphic>
          </wp:inline>
        </w:drawing>
      </w:r>
    </w:p>
    <w:p w14:paraId="06399854" w14:textId="77777777" w:rsidR="00157E2B" w:rsidRDefault="00157E2B" w:rsidP="00157E2B">
      <w:pPr>
        <w:spacing w:after="0"/>
        <w:jc w:val="both"/>
        <w:rPr>
          <w:rFonts w:ascii="Arial" w:hAnsi="Arial" w:cs="Arial"/>
        </w:rPr>
      </w:pPr>
      <w:r w:rsidRPr="00C70AC6">
        <w:rPr>
          <w:rFonts w:ascii="Arial" w:hAnsi="Arial" w:cs="Arial"/>
          <w:noProof/>
        </w:rPr>
        <w:drawing>
          <wp:inline distT="0" distB="0" distL="0" distR="0" wp14:anchorId="54879081" wp14:editId="6FBF98ED">
            <wp:extent cx="6122035" cy="1034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034415"/>
                    </a:xfrm>
                    <a:prstGeom prst="rect">
                      <a:avLst/>
                    </a:prstGeom>
                  </pic:spPr>
                </pic:pic>
              </a:graphicData>
            </a:graphic>
          </wp:inline>
        </w:drawing>
      </w:r>
    </w:p>
    <w:p w14:paraId="6A9580CA" w14:textId="77777777" w:rsidR="00157E2B" w:rsidRDefault="00157E2B" w:rsidP="00157E2B">
      <w:pPr>
        <w:spacing w:after="0"/>
        <w:jc w:val="both"/>
        <w:rPr>
          <w:rFonts w:ascii="Arial" w:hAnsi="Arial" w:cs="Arial"/>
        </w:rPr>
      </w:pPr>
      <w:r w:rsidRPr="00AF42D4">
        <w:rPr>
          <w:rFonts w:ascii="Arial" w:hAnsi="Arial" w:cs="Arial"/>
          <w:noProof/>
        </w:rPr>
        <w:lastRenderedPageBreak/>
        <w:drawing>
          <wp:inline distT="0" distB="0" distL="0" distR="0" wp14:anchorId="245AA3CD" wp14:editId="444AB1EF">
            <wp:extent cx="6122035" cy="10344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034415"/>
                    </a:xfrm>
                    <a:prstGeom prst="rect">
                      <a:avLst/>
                    </a:prstGeom>
                  </pic:spPr>
                </pic:pic>
              </a:graphicData>
            </a:graphic>
          </wp:inline>
        </w:drawing>
      </w:r>
    </w:p>
    <w:p w14:paraId="047AC105" w14:textId="77777777" w:rsidR="00157E2B" w:rsidRDefault="00157E2B" w:rsidP="00157E2B">
      <w:pPr>
        <w:pStyle w:val="TF"/>
      </w:pPr>
      <w:r>
        <w:t>Figure 2-2: Rx-Tx switching timeline utilizing the FR2 requirement</w:t>
      </w:r>
    </w:p>
    <w:p w14:paraId="744B850D" w14:textId="77777777" w:rsidR="00157E2B" w:rsidRDefault="00157E2B" w:rsidP="00157E2B">
      <w:pPr>
        <w:spacing w:after="0"/>
        <w:jc w:val="both"/>
        <w:rPr>
          <w:rFonts w:ascii="Arial" w:hAnsi="Arial" w:cs="Arial"/>
        </w:rPr>
      </w:pPr>
      <w:r w:rsidRPr="00F2546F">
        <w:rPr>
          <w:rFonts w:ascii="Arial" w:hAnsi="Arial" w:cs="Arial"/>
        </w:rPr>
        <w:t>We note that with increased numerology order (and reduced symbol length), the Rx-Tx transition time requires increasingly more gap symbols:  with 120 kHz the gap is ~1 symbol, with 480 kHz it is ~4 symbols, and with 960 kHz it is ~ 7 symbols.  By preserving the numerology-independent property of the Rx-Tx transition time in the specification we allow the UE implementation to leverage FR2 based architecture more effectively.</w:t>
      </w:r>
    </w:p>
    <w:p w14:paraId="103C3252" w14:textId="77777777" w:rsidR="00157E2B" w:rsidRPr="00F2546F" w:rsidRDefault="00157E2B" w:rsidP="00157E2B">
      <w:pPr>
        <w:spacing w:after="0"/>
        <w:jc w:val="both"/>
        <w:rPr>
          <w:rFonts w:ascii="Arial" w:hAnsi="Arial" w:cs="Arial"/>
        </w:rPr>
      </w:pPr>
    </w:p>
    <w:p w14:paraId="70632B29" w14:textId="16FDC725" w:rsidR="00157E2B" w:rsidRPr="007E5AE9" w:rsidRDefault="00157E2B" w:rsidP="00157E2B">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w:t>
      </w:r>
      <w:r w:rsidR="00E97CE5">
        <w:rPr>
          <w:rFonts w:ascii="Arial" w:hAnsi="Arial" w:cs="Arial"/>
          <w:b/>
          <w:bCs/>
          <w:i/>
          <w:iCs/>
        </w:rPr>
        <w:t>1</w:t>
      </w:r>
      <w:r w:rsidRPr="007E5AE9">
        <w:rPr>
          <w:rFonts w:ascii="Arial" w:hAnsi="Arial" w:cs="Arial"/>
          <w:i/>
          <w:iCs/>
        </w:rPr>
        <w:t xml:space="preserve">: </w:t>
      </w:r>
      <w:r>
        <w:rPr>
          <w:rFonts w:ascii="Arial" w:hAnsi="Arial" w:cs="Arial"/>
          <w:i/>
          <w:iCs/>
        </w:rPr>
        <w:t xml:space="preserve">For NR operation in the 52.6 – 71 GHz range, the Rx-Tx and Tx-Rx transition time shall reuse the FR2 value of </w:t>
      </w:r>
      <w:r w:rsidRPr="00745842">
        <w:rPr>
          <w:rFonts w:ascii="Arial" w:hAnsi="Arial" w:cs="Arial"/>
          <w:i/>
          <w:iCs/>
        </w:rPr>
        <w:t>13792 Tc</w:t>
      </w:r>
      <w:r>
        <w:rPr>
          <w:rFonts w:ascii="Arial" w:hAnsi="Arial" w:cs="Arial"/>
          <w:i/>
          <w:iCs/>
        </w:rPr>
        <w:t>.</w:t>
      </w:r>
    </w:p>
    <w:p w14:paraId="277BA6A7" w14:textId="77777777" w:rsidR="00157E2B" w:rsidRDefault="00157E2B" w:rsidP="00157E2B">
      <w:pPr>
        <w:spacing w:after="0"/>
        <w:jc w:val="both"/>
        <w:rPr>
          <w:rFonts w:ascii="Arial" w:hAnsi="Arial" w:cs="Arial"/>
        </w:rPr>
      </w:pPr>
      <w:r w:rsidRPr="00F2546F">
        <w:rPr>
          <w:rFonts w:ascii="Arial" w:hAnsi="Arial" w:cs="Arial"/>
        </w:rPr>
        <w:t>As mentioned earlier, a potential benefit to the overall latency budget can be realized with shorter Rx-Tx and Tx-Rx transition times in configurations with higher order numerology. RAN4 should study whether this is feasible as an optional capability.</w:t>
      </w:r>
    </w:p>
    <w:p w14:paraId="4DB517BA" w14:textId="77777777" w:rsidR="00157E2B" w:rsidRPr="00F2546F" w:rsidRDefault="00157E2B" w:rsidP="00157E2B">
      <w:pPr>
        <w:spacing w:after="0"/>
        <w:jc w:val="both"/>
        <w:rPr>
          <w:rFonts w:ascii="Arial" w:hAnsi="Arial" w:cs="Arial"/>
        </w:rPr>
      </w:pPr>
    </w:p>
    <w:p w14:paraId="375C2A37" w14:textId="77777777" w:rsidR="00157E2B" w:rsidRDefault="00157E2B" w:rsidP="00157E2B">
      <w:pPr>
        <w:spacing w:after="0"/>
        <w:jc w:val="both"/>
        <w:rPr>
          <w:rFonts w:ascii="Arial" w:hAnsi="Arial" w:cs="Arial"/>
        </w:rPr>
      </w:pPr>
      <w:r w:rsidRPr="00F2546F">
        <w:rPr>
          <w:rFonts w:ascii="Arial" w:hAnsi="Arial" w:cs="Arial"/>
        </w:rPr>
        <w:t>Considering further the beam switch delay for Tx or Rx beams, we observe that the same reasoning applies as with Proposal 2.</w:t>
      </w:r>
    </w:p>
    <w:p w14:paraId="65CC4C2E" w14:textId="77777777" w:rsidR="00157E2B" w:rsidRPr="00F2546F" w:rsidRDefault="00157E2B" w:rsidP="00157E2B">
      <w:pPr>
        <w:spacing w:after="0"/>
        <w:jc w:val="both"/>
        <w:rPr>
          <w:rFonts w:ascii="Arial" w:hAnsi="Arial" w:cs="Arial"/>
        </w:rPr>
      </w:pPr>
    </w:p>
    <w:p w14:paraId="6993767F" w14:textId="339D9DED" w:rsidR="00157E2B" w:rsidRPr="00E97CE5" w:rsidRDefault="00157E2B" w:rsidP="00157E2B">
      <w:pPr>
        <w:spacing w:after="120"/>
        <w:jc w:val="both"/>
        <w:rPr>
          <w:rFonts w:ascii="Arial" w:hAnsi="Arial" w:cs="Arial"/>
          <w:b/>
          <w:bCs/>
          <w:i/>
          <w:iCs/>
        </w:rPr>
      </w:pPr>
      <w:r w:rsidRPr="007E5AE9">
        <w:rPr>
          <w:rFonts w:ascii="Arial" w:hAnsi="Arial" w:cs="Arial"/>
          <w:b/>
          <w:bCs/>
          <w:i/>
          <w:iCs/>
        </w:rPr>
        <w:t>Proposal</w:t>
      </w:r>
      <w:r>
        <w:rPr>
          <w:rFonts w:ascii="Arial" w:hAnsi="Arial" w:cs="Arial"/>
          <w:b/>
          <w:bCs/>
          <w:i/>
          <w:iCs/>
        </w:rPr>
        <w:t xml:space="preserve"> </w:t>
      </w:r>
      <w:r w:rsidR="00E97CE5">
        <w:rPr>
          <w:rFonts w:ascii="Arial" w:hAnsi="Arial" w:cs="Arial"/>
          <w:b/>
          <w:bCs/>
          <w:i/>
          <w:iCs/>
        </w:rPr>
        <w:t>2</w:t>
      </w:r>
      <w:r w:rsidRPr="007E5AE9">
        <w:rPr>
          <w:rFonts w:ascii="Arial" w:hAnsi="Arial" w:cs="Arial"/>
          <w:i/>
          <w:iCs/>
        </w:rPr>
        <w:t xml:space="preserve">: </w:t>
      </w:r>
      <w:r>
        <w:rPr>
          <w:rFonts w:ascii="Arial" w:hAnsi="Arial" w:cs="Arial"/>
          <w:i/>
          <w:iCs/>
        </w:rPr>
        <w:t>For NR operation in the 52.6 – 71 GHz range, the Tx and Rx beam switch delay shall reuse the FR2 assumption.</w:t>
      </w:r>
    </w:p>
    <w:p w14:paraId="5935D4A8" w14:textId="77777777" w:rsidR="00157E2B" w:rsidRDefault="00157E2B" w:rsidP="00157E2B">
      <w:pPr>
        <w:spacing w:after="0"/>
        <w:jc w:val="both"/>
        <w:rPr>
          <w:rFonts w:ascii="Arial" w:hAnsi="Arial" w:cs="Arial"/>
        </w:rPr>
      </w:pPr>
      <w:r w:rsidRPr="00F2546F">
        <w:rPr>
          <w:rFonts w:ascii="Arial" w:hAnsi="Arial" w:cs="Arial"/>
        </w:rPr>
        <w:t>Given the much shorter beam switch delay than the Rx-Tx transition time, further reducing this delay in the physical layer design yields diminishing returns:  at 960 kHz SCS the FR2 assumption on beam switch delay is comparable to a 2-symbol gap.  Thus, we do not see a benefit in further studying to improve this parameter relative to the FR2 assumption.</w:t>
      </w:r>
    </w:p>
    <w:p w14:paraId="012C07CD" w14:textId="77777777" w:rsidR="00157E2B" w:rsidRPr="00F2546F" w:rsidRDefault="00157E2B" w:rsidP="00157E2B">
      <w:pPr>
        <w:spacing w:after="0"/>
        <w:jc w:val="both"/>
        <w:rPr>
          <w:rFonts w:ascii="Arial" w:hAnsi="Arial" w:cs="Arial"/>
        </w:rPr>
      </w:pPr>
    </w:p>
    <w:p w14:paraId="113403FD" w14:textId="2E488D3C" w:rsidR="00157E2B" w:rsidRPr="007E5AE9" w:rsidRDefault="00157E2B" w:rsidP="00157E2B">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w:t>
      </w:r>
      <w:r w:rsidR="00E97CE5">
        <w:rPr>
          <w:rFonts w:ascii="Arial" w:hAnsi="Arial" w:cs="Arial"/>
          <w:b/>
          <w:bCs/>
          <w:i/>
          <w:iCs/>
        </w:rPr>
        <w:t>3</w:t>
      </w:r>
      <w:r w:rsidRPr="007E5AE9">
        <w:rPr>
          <w:rFonts w:ascii="Arial" w:hAnsi="Arial" w:cs="Arial"/>
          <w:i/>
          <w:iCs/>
        </w:rPr>
        <w:t xml:space="preserve">: </w:t>
      </w:r>
      <w:r>
        <w:rPr>
          <w:rFonts w:ascii="Arial" w:hAnsi="Arial" w:cs="Arial"/>
          <w:i/>
          <w:iCs/>
        </w:rPr>
        <w:t>RAN4 should inform RAN1 that as a baseline the FR2 assumptions on Tx beam switching time, Rx beam switching time, Rx-Tx transition time, and Tx-Rx transition time shall be reused for NR operating in the 52.6 – 71 GHz frequency range. RAN4 should further ask RAN1 whether from the physical layer design perspective it is feasible to support an optionally shorter Rx-Tx/Tx-Rx transition time.</w:t>
      </w:r>
    </w:p>
    <w:p w14:paraId="1389C373" w14:textId="0AFB0277" w:rsidR="00157E2B" w:rsidRDefault="00157E2B" w:rsidP="00157E2B">
      <w:pPr>
        <w:spacing w:after="0"/>
        <w:jc w:val="both"/>
        <w:rPr>
          <w:rFonts w:ascii="Arial" w:hAnsi="Arial" w:cs="Arial"/>
        </w:rPr>
      </w:pPr>
      <w:r w:rsidRPr="00F2546F">
        <w:rPr>
          <w:rFonts w:ascii="Arial" w:hAnsi="Arial" w:cs="Arial"/>
        </w:rPr>
        <w:t>Based on the agreements above as well as further analysis, RAN4 should continue to discuss how to define the remaining time mask requirements in the RF specifications.</w:t>
      </w:r>
    </w:p>
    <w:p w14:paraId="5A9A4481" w14:textId="77777777" w:rsidR="00020879" w:rsidRPr="00F2546F" w:rsidRDefault="00020879" w:rsidP="00157E2B">
      <w:pPr>
        <w:spacing w:after="0"/>
        <w:jc w:val="both"/>
        <w:rPr>
          <w:rFonts w:ascii="Arial" w:hAnsi="Arial" w:cs="Arial"/>
        </w:rPr>
      </w:pPr>
    </w:p>
    <w:p w14:paraId="6F0488AB" w14:textId="77777777" w:rsidR="00020879" w:rsidRDefault="00020879" w:rsidP="00020879">
      <w:pPr>
        <w:spacing w:after="0"/>
        <w:jc w:val="both"/>
        <w:rPr>
          <w:rFonts w:ascii="Arial" w:hAnsi="Arial" w:cs="Arial"/>
        </w:rPr>
      </w:pPr>
      <w:r>
        <w:rPr>
          <w:rFonts w:ascii="Arial" w:hAnsi="Arial" w:cs="Arial"/>
        </w:rPr>
        <w:t>Transient requirements for power change and/or BW change can scale based on the fundamental agreement of the Tx-Rx transition time.  For example, if it is agreeable to reuse FR2 values for this parameter, then transient requirements can also follow the FR2 baseline.  When defining these requirements RAN4 should be aware of the device type and traffic pattern assumptions.  For example, a handset UE is most likely not expected to transmit over a long duration and over long bandwidth:  with the wide total channel bandwidth available in ther 52.6 - 71 GHz frequency range, more likely patterns will involve short-duration and wide bandwidth transmissions.  A similar argument can be extended to handset DL operation.  With bursty traffic dominating the handset usage scenarios, short transition times between UL and DL as well as between power control and/or bandwidth changes do not have as much significance on user experience when compared to fully utilized frequency-time domain resources, which might be a feature of wireless backhaul links over 60 GHz.</w:t>
      </w:r>
    </w:p>
    <w:p w14:paraId="1BFBF5F8" w14:textId="77777777" w:rsidR="00020879" w:rsidRDefault="00020879" w:rsidP="00020879">
      <w:pPr>
        <w:spacing w:after="0"/>
        <w:jc w:val="both"/>
        <w:rPr>
          <w:rFonts w:ascii="Arial" w:hAnsi="Arial" w:cs="Arial"/>
        </w:rPr>
      </w:pPr>
    </w:p>
    <w:p w14:paraId="608B4289" w14:textId="6B42E852" w:rsidR="00157E2B" w:rsidRPr="00020879" w:rsidRDefault="00020879" w:rsidP="00020879">
      <w:pPr>
        <w:spacing w:after="120"/>
        <w:jc w:val="both"/>
        <w:rPr>
          <w:rFonts w:ascii="Arial" w:hAnsi="Arial" w:cs="Arial"/>
        </w:rPr>
      </w:pPr>
      <w:r w:rsidRPr="007E5AE9">
        <w:rPr>
          <w:rFonts w:ascii="Arial" w:hAnsi="Arial" w:cs="Arial"/>
          <w:b/>
          <w:bCs/>
          <w:i/>
          <w:iCs/>
        </w:rPr>
        <w:t xml:space="preserve">Observation </w:t>
      </w:r>
      <w:r>
        <w:rPr>
          <w:rFonts w:ascii="Arial" w:hAnsi="Arial" w:cs="Arial"/>
          <w:b/>
          <w:bCs/>
          <w:i/>
          <w:iCs/>
        </w:rPr>
        <w:t>4</w:t>
      </w:r>
      <w:r w:rsidRPr="007E5AE9">
        <w:rPr>
          <w:rFonts w:ascii="Arial" w:hAnsi="Arial" w:cs="Arial"/>
          <w:i/>
          <w:iCs/>
        </w:rPr>
        <w:t xml:space="preserve">: </w:t>
      </w:r>
      <w:r>
        <w:rPr>
          <w:rFonts w:ascii="Arial" w:hAnsi="Arial" w:cs="Arial"/>
          <w:i/>
          <w:iCs/>
        </w:rPr>
        <w:t xml:space="preserve">When defining transient requirements, such as Tx-Rx transition time and other transient periods, </w:t>
      </w:r>
      <w:r w:rsidRPr="00AD1449">
        <w:rPr>
          <w:rFonts w:ascii="Arial" w:hAnsi="Arial" w:cs="Arial"/>
          <w:i/>
          <w:iCs/>
        </w:rPr>
        <w:t>RAN4 should be aware of the device type and traffic pattern assumptions</w:t>
      </w:r>
      <w:r>
        <w:rPr>
          <w:rFonts w:ascii="Arial" w:hAnsi="Arial" w:cs="Arial"/>
          <w:i/>
          <w:iCs/>
        </w:rPr>
        <w:t>.</w:t>
      </w:r>
    </w:p>
    <w:p w14:paraId="187FBF8E" w14:textId="6EBC1B05" w:rsidR="002D61E3" w:rsidRDefault="00491142" w:rsidP="00491142">
      <w:pPr>
        <w:pStyle w:val="Heading2"/>
      </w:pPr>
      <w:r>
        <w:t>2.</w:t>
      </w:r>
      <w:r w:rsidR="00157E2B">
        <w:t>3</w:t>
      </w:r>
      <w:r>
        <w:tab/>
      </w:r>
      <w:r>
        <w:tab/>
        <w:t>Open loop transmit power control</w:t>
      </w:r>
    </w:p>
    <w:p w14:paraId="07BA72C3" w14:textId="77777777" w:rsidR="007E5AE9" w:rsidRDefault="007E5AE9" w:rsidP="007E5AE9">
      <w:pPr>
        <w:spacing w:after="120"/>
        <w:jc w:val="both"/>
        <w:rPr>
          <w:rFonts w:ascii="Arial" w:hAnsi="Arial" w:cs="Arial"/>
        </w:rPr>
      </w:pPr>
      <w:r>
        <w:rPr>
          <w:rFonts w:ascii="Arial" w:hAnsi="Arial" w:cs="Arial"/>
        </w:rPr>
        <w:t>In cellular networks, UL TPC is a rather complicated mechanism which is composed of o</w:t>
      </w:r>
      <w:r w:rsidRPr="007E5AE9">
        <w:rPr>
          <w:rFonts w:ascii="Arial" w:hAnsi="Arial" w:cs="Arial"/>
        </w:rPr>
        <w:t>pen loop power control during the initial access (PRACH process</w:t>
      </w:r>
      <w:r>
        <w:rPr>
          <w:rFonts w:ascii="Arial" w:hAnsi="Arial" w:cs="Arial"/>
        </w:rPr>
        <w:t>) and c</w:t>
      </w:r>
      <w:r w:rsidRPr="007E5AE9">
        <w:rPr>
          <w:rFonts w:ascii="Arial" w:hAnsi="Arial" w:cs="Arial"/>
        </w:rPr>
        <w:t>losed loop power control when UE is in connection with the network (PUSCH, PUCCH, and SRS)</w:t>
      </w:r>
      <w:r>
        <w:rPr>
          <w:rFonts w:ascii="Arial" w:hAnsi="Arial" w:cs="Arial"/>
        </w:rPr>
        <w:t>. T</w:t>
      </w:r>
      <w:r w:rsidRPr="007E5AE9">
        <w:rPr>
          <w:rFonts w:ascii="Arial" w:hAnsi="Arial" w:cs="Arial"/>
        </w:rPr>
        <w:t xml:space="preserve">he two key parameters in determining the UL transmission power </w:t>
      </w:r>
      <w:r>
        <w:rPr>
          <w:rFonts w:ascii="Arial" w:hAnsi="Arial" w:cs="Arial"/>
        </w:rPr>
        <w:t xml:space="preserve">in UL TPC </w:t>
      </w:r>
      <w:r w:rsidRPr="007E5AE9">
        <w:rPr>
          <w:rFonts w:ascii="Arial" w:hAnsi="Arial" w:cs="Arial"/>
        </w:rPr>
        <w:t>are</w:t>
      </w:r>
      <w:r>
        <w:rPr>
          <w:rFonts w:ascii="Arial" w:hAnsi="Arial" w:cs="Arial"/>
        </w:rPr>
        <w:t xml:space="preserve"> P</w:t>
      </w:r>
      <w:r w:rsidRPr="007E5AE9">
        <w:rPr>
          <w:rFonts w:ascii="Arial" w:hAnsi="Arial" w:cs="Arial"/>
          <w:vertAlign w:val="subscript"/>
        </w:rPr>
        <w:t>CMAX</w:t>
      </w:r>
      <w:r>
        <w:rPr>
          <w:rFonts w:ascii="Arial" w:hAnsi="Arial" w:cs="Arial"/>
        </w:rPr>
        <w:t xml:space="preserve"> and PL as is shown in the following formula for open loop PRACH output power,</w:t>
      </w:r>
    </w:p>
    <w:p w14:paraId="551D4C94" w14:textId="77777777" w:rsidR="007E5AE9" w:rsidRDefault="007E5AE9" w:rsidP="007E5AE9">
      <w:pPr>
        <w:spacing w:after="0"/>
        <w:jc w:val="both"/>
        <w:rPr>
          <w:rFonts w:ascii="Arial" w:hAnsi="Arial" w:cs="Arial"/>
        </w:rPr>
      </w:pPr>
    </w:p>
    <w:p w14:paraId="7DC14935" w14:textId="03E5F855" w:rsidR="007E5AE9" w:rsidRDefault="007E5AE9" w:rsidP="007E5AE9">
      <w:pPr>
        <w:spacing w:after="240"/>
        <w:jc w:val="center"/>
        <w:rPr>
          <w:rFonts w:ascii="Arial" w:hAnsi="Arial" w:cs="Arial"/>
        </w:rPr>
      </w:pPr>
      <w:r>
        <w:rPr>
          <w:rFonts w:ascii="Arial" w:hAnsi="Arial" w:cs="Arial"/>
        </w:rPr>
        <w:lastRenderedPageBreak/>
        <w:t>P</w:t>
      </w:r>
      <w:r w:rsidRPr="007E5AE9">
        <w:rPr>
          <w:rFonts w:ascii="Arial" w:hAnsi="Arial" w:cs="Arial"/>
          <w:vertAlign w:val="subscript"/>
        </w:rPr>
        <w:t>PRACH</w:t>
      </w:r>
      <w:r>
        <w:rPr>
          <w:rFonts w:ascii="Arial" w:hAnsi="Arial" w:cs="Arial"/>
        </w:rPr>
        <w:t xml:space="preserve"> = min{P</w:t>
      </w:r>
      <w:r w:rsidRPr="007E5AE9">
        <w:rPr>
          <w:rFonts w:ascii="Arial" w:hAnsi="Arial" w:cs="Arial"/>
          <w:vertAlign w:val="subscript"/>
        </w:rPr>
        <w:t>CMAX</w:t>
      </w:r>
      <w:r>
        <w:rPr>
          <w:rFonts w:ascii="Arial" w:hAnsi="Arial" w:cs="Arial"/>
        </w:rPr>
        <w:t xml:space="preserve">, </w:t>
      </w:r>
      <w:r w:rsidRPr="007E5AE9">
        <w:rPr>
          <w:rFonts w:ascii="Arial" w:hAnsi="Arial" w:cs="Arial"/>
        </w:rPr>
        <w:t>P</w:t>
      </w:r>
      <w:r w:rsidRPr="007E5AE9">
        <w:rPr>
          <w:rFonts w:ascii="Arial" w:hAnsi="Arial" w:cs="Arial"/>
          <w:vertAlign w:val="subscript"/>
        </w:rPr>
        <w:t>PRACH,target</w:t>
      </w:r>
      <w:r>
        <w:rPr>
          <w:rFonts w:ascii="Arial" w:hAnsi="Arial" w:cs="Arial"/>
        </w:rPr>
        <w:t xml:space="preserve"> + PL}</w:t>
      </w:r>
    </w:p>
    <w:p w14:paraId="76C85BD7" w14:textId="00BD4AAB" w:rsidR="00E91B77" w:rsidRDefault="007E5AE9" w:rsidP="000A0C3B">
      <w:pPr>
        <w:spacing w:after="120"/>
        <w:jc w:val="both"/>
        <w:rPr>
          <w:rFonts w:ascii="Arial" w:hAnsi="Arial" w:cs="Arial"/>
        </w:rPr>
      </w:pPr>
      <w:r>
        <w:rPr>
          <w:rFonts w:ascii="Arial" w:hAnsi="Arial" w:cs="Arial"/>
        </w:rPr>
        <w:t>where P</w:t>
      </w:r>
      <w:r w:rsidRPr="007E5AE9">
        <w:rPr>
          <w:rFonts w:ascii="Arial" w:hAnsi="Arial" w:cs="Arial"/>
          <w:vertAlign w:val="subscript"/>
        </w:rPr>
        <w:t>CMAX</w:t>
      </w:r>
      <w:r>
        <w:rPr>
          <w:rFonts w:ascii="Arial" w:hAnsi="Arial" w:cs="Arial"/>
        </w:rPr>
        <w:t xml:space="preserve"> is UE’s maximum output power capability and PL is the path loss. </w:t>
      </w:r>
      <w:r w:rsidR="00B42A9D">
        <w:rPr>
          <w:rFonts w:ascii="Arial" w:hAnsi="Arial" w:cs="Arial"/>
        </w:rPr>
        <w:t>In last RAN4 meeting, we have illustrated</w:t>
      </w:r>
      <w:r>
        <w:rPr>
          <w:rFonts w:ascii="Arial" w:hAnsi="Arial" w:cs="Arial"/>
        </w:rPr>
        <w:t xml:space="preserve"> the UE P</w:t>
      </w:r>
      <w:r w:rsidRPr="007E5AE9">
        <w:rPr>
          <w:rFonts w:ascii="Arial" w:hAnsi="Arial" w:cs="Arial"/>
          <w:vertAlign w:val="subscript"/>
        </w:rPr>
        <w:t>CMAX</w:t>
      </w:r>
      <w:r>
        <w:rPr>
          <w:rFonts w:ascii="Arial" w:hAnsi="Arial" w:cs="Arial"/>
        </w:rPr>
        <w:t xml:space="preserve"> </w:t>
      </w:r>
      <w:r w:rsidR="00E91B77">
        <w:rPr>
          <w:rFonts w:ascii="Arial" w:hAnsi="Arial" w:cs="Arial"/>
        </w:rPr>
        <w:t>versus FSPL trend lines over the frequency range from 28 GHz to 60 GHz where P</w:t>
      </w:r>
      <w:r w:rsidR="00DF464B" w:rsidRPr="007E5AE9">
        <w:rPr>
          <w:rFonts w:ascii="Arial" w:hAnsi="Arial" w:cs="Arial"/>
          <w:vertAlign w:val="subscript"/>
        </w:rPr>
        <w:t>CMAX</w:t>
      </w:r>
      <w:r w:rsidR="00E91B77">
        <w:rPr>
          <w:rFonts w:ascii="Arial" w:hAnsi="Arial" w:cs="Arial"/>
        </w:rPr>
        <w:t xml:space="preserve"> at 60 GHz was extrapolated based on the current FR2 </w:t>
      </w:r>
      <w:r w:rsidR="00B2629A">
        <w:rPr>
          <w:rFonts w:ascii="Arial" w:hAnsi="Arial" w:cs="Arial"/>
        </w:rPr>
        <w:t xml:space="preserve">PC3 </w:t>
      </w:r>
      <w:r w:rsidR="00E91B77">
        <w:rPr>
          <w:rFonts w:ascii="Arial" w:hAnsi="Arial" w:cs="Arial"/>
        </w:rPr>
        <w:t>UE maximum output power requirements</w:t>
      </w:r>
      <w:r>
        <w:rPr>
          <w:rFonts w:ascii="Arial" w:hAnsi="Arial" w:cs="Arial"/>
        </w:rPr>
        <w:t xml:space="preserve">. </w:t>
      </w:r>
      <w:r w:rsidR="00E91B77">
        <w:rPr>
          <w:rFonts w:ascii="Arial" w:hAnsi="Arial" w:cs="Arial"/>
        </w:rPr>
        <w:t>However, the P</w:t>
      </w:r>
      <w:r w:rsidR="00DF464B" w:rsidRPr="007E5AE9">
        <w:rPr>
          <w:rFonts w:ascii="Arial" w:hAnsi="Arial" w:cs="Arial"/>
          <w:vertAlign w:val="subscript"/>
        </w:rPr>
        <w:t>CMAX</w:t>
      </w:r>
      <w:r w:rsidR="00E91B77">
        <w:rPr>
          <w:rFonts w:ascii="Arial" w:hAnsi="Arial" w:cs="Arial"/>
        </w:rPr>
        <w:t xml:space="preserve"> values </w:t>
      </w:r>
      <w:r w:rsidR="00EC5547">
        <w:rPr>
          <w:rFonts w:ascii="Arial" w:hAnsi="Arial" w:cs="Arial"/>
        </w:rPr>
        <w:t>quoted are the peak EIRP which only represent the best-case scenario whe</w:t>
      </w:r>
      <w:r w:rsidR="00DF464B">
        <w:rPr>
          <w:rFonts w:ascii="Arial" w:hAnsi="Arial" w:cs="Arial"/>
        </w:rPr>
        <w:t>n</w:t>
      </w:r>
      <w:r w:rsidR="00EC5547">
        <w:rPr>
          <w:rFonts w:ascii="Arial" w:hAnsi="Arial" w:cs="Arial"/>
        </w:rPr>
        <w:t xml:space="preserve"> the network is </w:t>
      </w:r>
      <w:r w:rsidR="00DF464B">
        <w:rPr>
          <w:rFonts w:ascii="Arial" w:hAnsi="Arial" w:cs="Arial"/>
        </w:rPr>
        <w:t>situat</w:t>
      </w:r>
      <w:r w:rsidR="00EC5547">
        <w:rPr>
          <w:rFonts w:ascii="Arial" w:hAnsi="Arial" w:cs="Arial"/>
        </w:rPr>
        <w:t>ed along the UE beam peak direction. Practically, in most cases the UE maximum output power seen by the base station would be lower than peak EIRP. In that regard, we have updated the figure by inco</w:t>
      </w:r>
      <w:r w:rsidR="00617BD2">
        <w:rPr>
          <w:rFonts w:ascii="Arial" w:hAnsi="Arial" w:cs="Arial"/>
        </w:rPr>
        <w:t>rporating additional trend line for PC3 spherical coverage P</w:t>
      </w:r>
      <w:r w:rsidR="00DF464B" w:rsidRPr="007E5AE9">
        <w:rPr>
          <w:rFonts w:ascii="Arial" w:hAnsi="Arial" w:cs="Arial"/>
          <w:vertAlign w:val="subscript"/>
        </w:rPr>
        <w:t>CMAX</w:t>
      </w:r>
      <w:r w:rsidR="00617BD2">
        <w:rPr>
          <w:rFonts w:ascii="Arial" w:hAnsi="Arial" w:cs="Arial"/>
        </w:rPr>
        <w:t xml:space="preserve"> (at 50% of EIRP CDF) which we consider would be a more practical P</w:t>
      </w:r>
      <w:r w:rsidR="00DF464B" w:rsidRPr="007E5AE9">
        <w:rPr>
          <w:rFonts w:ascii="Arial" w:hAnsi="Arial" w:cs="Arial"/>
          <w:vertAlign w:val="subscript"/>
        </w:rPr>
        <w:t>CMAX</w:t>
      </w:r>
      <w:r w:rsidR="00617BD2">
        <w:rPr>
          <w:rFonts w:ascii="Arial" w:hAnsi="Arial" w:cs="Arial"/>
        </w:rPr>
        <w:t xml:space="preserve"> observed by the base station, as shown in Figure 2-1.  </w:t>
      </w:r>
      <w:r w:rsidR="00EC5547">
        <w:rPr>
          <w:rFonts w:ascii="Arial" w:hAnsi="Arial" w:cs="Arial"/>
        </w:rPr>
        <w:t xml:space="preserve">   </w:t>
      </w:r>
    </w:p>
    <w:p w14:paraId="133355BC" w14:textId="77777777" w:rsidR="00617BD2" w:rsidRDefault="00617BD2" w:rsidP="00617BD2">
      <w:pPr>
        <w:spacing w:after="0"/>
        <w:jc w:val="both"/>
        <w:rPr>
          <w:rFonts w:ascii="Arial" w:hAnsi="Arial" w:cs="Arial"/>
        </w:rPr>
      </w:pPr>
    </w:p>
    <w:p w14:paraId="0DAF1871" w14:textId="325B237D" w:rsidR="007E5AE9" w:rsidRDefault="00B2629A" w:rsidP="000A0C3B">
      <w:pPr>
        <w:spacing w:after="120"/>
        <w:jc w:val="both"/>
        <w:rPr>
          <w:rFonts w:ascii="Arial" w:hAnsi="Arial" w:cs="Arial"/>
        </w:rPr>
      </w:pPr>
      <w:r>
        <w:rPr>
          <w:rFonts w:ascii="Arial" w:hAnsi="Arial" w:cs="Arial"/>
        </w:rPr>
        <w:t>T</w:t>
      </w:r>
      <w:r w:rsidR="007E5AE9">
        <w:rPr>
          <w:rFonts w:ascii="Arial" w:hAnsi="Arial" w:cs="Arial"/>
        </w:rPr>
        <w:t>he decreasing gap between the</w:t>
      </w:r>
      <w:r w:rsidR="00617BD2">
        <w:rPr>
          <w:rFonts w:ascii="Arial" w:hAnsi="Arial" w:cs="Arial"/>
        </w:rPr>
        <w:t xml:space="preserve"> P</w:t>
      </w:r>
      <w:r w:rsidR="00DF464B" w:rsidRPr="007E5AE9">
        <w:rPr>
          <w:rFonts w:ascii="Arial" w:hAnsi="Arial" w:cs="Arial"/>
          <w:vertAlign w:val="subscript"/>
        </w:rPr>
        <w:t>CMAX</w:t>
      </w:r>
      <w:r w:rsidR="00617BD2">
        <w:rPr>
          <w:rFonts w:ascii="Arial" w:hAnsi="Arial" w:cs="Arial"/>
        </w:rPr>
        <w:t xml:space="preserve"> and FSPL</w:t>
      </w:r>
      <w:r w:rsidR="007E5AE9">
        <w:rPr>
          <w:rFonts w:ascii="Arial" w:hAnsi="Arial" w:cs="Arial"/>
        </w:rPr>
        <w:t xml:space="preserve"> trend lines along with increasing frequency is a</w:t>
      </w:r>
      <w:r w:rsidR="00617BD2">
        <w:rPr>
          <w:rFonts w:ascii="Arial" w:hAnsi="Arial" w:cs="Arial"/>
        </w:rPr>
        <w:t xml:space="preserve"> good i</w:t>
      </w:r>
      <w:r w:rsidR="007E5AE9">
        <w:rPr>
          <w:rFonts w:ascii="Arial" w:hAnsi="Arial" w:cs="Arial"/>
        </w:rPr>
        <w:t>ndication of UL dynamic range contraction.</w:t>
      </w:r>
      <w:r w:rsidR="00E91B77">
        <w:rPr>
          <w:rFonts w:ascii="Arial" w:hAnsi="Arial" w:cs="Arial"/>
        </w:rPr>
        <w:t xml:space="preserve"> </w:t>
      </w:r>
      <w:r w:rsidR="007E5AE9">
        <w:rPr>
          <w:rFonts w:ascii="Arial" w:hAnsi="Arial" w:cs="Arial"/>
        </w:rPr>
        <w:t xml:space="preserve"> </w:t>
      </w:r>
    </w:p>
    <w:p w14:paraId="2A43D461" w14:textId="4769A620" w:rsidR="007E5AE9" w:rsidRDefault="007E5AE9" w:rsidP="007E5AE9">
      <w:pPr>
        <w:spacing w:after="0"/>
        <w:jc w:val="center"/>
        <w:rPr>
          <w:noProof/>
        </w:rPr>
      </w:pPr>
      <w:r>
        <w:rPr>
          <w:noProof/>
        </w:rPr>
        <w:t xml:space="preserve"> </w:t>
      </w:r>
    </w:p>
    <w:p w14:paraId="43AD773F" w14:textId="62864933" w:rsidR="007E5AE9" w:rsidRDefault="00AC6D4C" w:rsidP="007E5AE9">
      <w:pPr>
        <w:spacing w:after="0"/>
        <w:jc w:val="center"/>
        <w:rPr>
          <w:rFonts w:ascii="Arial" w:hAnsi="Arial" w:cs="Arial"/>
        </w:rPr>
      </w:pPr>
      <w:r>
        <w:rPr>
          <w:noProof/>
        </w:rPr>
        <w:drawing>
          <wp:inline distT="0" distB="0" distL="0" distR="0" wp14:anchorId="54B31C04" wp14:editId="3A004A52">
            <wp:extent cx="4246821" cy="2640880"/>
            <wp:effectExtent l="0" t="0" r="0" b="127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259433" cy="2648723"/>
                    </a:xfrm>
                    <a:prstGeom prst="rect">
                      <a:avLst/>
                    </a:prstGeom>
                  </pic:spPr>
                </pic:pic>
              </a:graphicData>
            </a:graphic>
          </wp:inline>
        </w:drawing>
      </w:r>
      <w:r w:rsidR="007E5AE9">
        <w:rPr>
          <w:noProof/>
        </w:rPr>
        <mc:AlternateContent>
          <mc:Choice Requires="wps">
            <w:drawing>
              <wp:anchor distT="0" distB="0" distL="114300" distR="114300" simplePos="0" relativeHeight="251659264" behindDoc="0" locked="0" layoutInCell="1" allowOverlap="1" wp14:anchorId="1466E53F" wp14:editId="3CD4D5AE">
                <wp:simplePos x="0" y="0"/>
                <wp:positionH relativeFrom="column">
                  <wp:posOffset>-889886</wp:posOffset>
                </wp:positionH>
                <wp:positionV relativeFrom="paragraph">
                  <wp:posOffset>8060513</wp:posOffset>
                </wp:positionV>
                <wp:extent cx="152400" cy="469900"/>
                <wp:effectExtent l="0" t="0" r="12700" b="12700"/>
                <wp:wrapNone/>
                <wp:docPr id="8" name="Oval 7">
                  <a:extLst xmlns:a="http://schemas.openxmlformats.org/drawingml/2006/main">
                    <a:ext uri="{FF2B5EF4-FFF2-40B4-BE49-F238E27FC236}">
                      <a16:creationId xmlns:a16="http://schemas.microsoft.com/office/drawing/2014/main" id="{E54A690D-3A7A-7747-99A9-7E06177B9A22}"/>
                    </a:ext>
                  </a:extLst>
                </wp:docPr>
                <wp:cNvGraphicFramePr/>
                <a:graphic xmlns:a="http://schemas.openxmlformats.org/drawingml/2006/main">
                  <a:graphicData uri="http://schemas.microsoft.com/office/word/2010/wordprocessingShape">
                    <wps:wsp>
                      <wps:cNvSpPr/>
                      <wps:spPr>
                        <a:xfrm>
                          <a:off x="0" y="0"/>
                          <a:ext cx="152400" cy="4699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5CFF26FC" id="Oval 7" o:spid="_x0000_s1026" style="position:absolute;margin-left:-70.05pt;margin-top:634.7pt;width:12pt;height:3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" filled="f" strokecolor="black [3213]" strokeweight="1pt">
                <v:stroke joinstyle="miter"/>
              </v:oval>
            </w:pict>
          </mc:Fallback>
        </mc:AlternateContent>
      </w:r>
      <w:r w:rsidR="007E5AE9">
        <w:rPr>
          <w:noProof/>
        </w:rPr>
        <mc:AlternateContent>
          <mc:Choice Requires="wps">
            <w:drawing>
              <wp:anchor distT="0" distB="0" distL="114300" distR="114300" simplePos="0" relativeHeight="251662336" behindDoc="0" locked="0" layoutInCell="1" allowOverlap="1" wp14:anchorId="4743B0BC" wp14:editId="4765C972">
                <wp:simplePos x="0" y="0"/>
                <wp:positionH relativeFrom="column">
                  <wp:posOffset>-1438644</wp:posOffset>
                </wp:positionH>
                <wp:positionV relativeFrom="paragraph">
                  <wp:posOffset>8517122</wp:posOffset>
                </wp:positionV>
                <wp:extent cx="558800" cy="0"/>
                <wp:effectExtent l="25400" t="63500" r="0" b="76200"/>
                <wp:wrapNone/>
                <wp:docPr id="16" name="Straight Arrow Connector 15">
                  <a:extLst xmlns:a="http://schemas.openxmlformats.org/drawingml/2006/main">
                    <a:ext uri="{FF2B5EF4-FFF2-40B4-BE49-F238E27FC236}">
                      <a16:creationId xmlns:a16="http://schemas.microsoft.com/office/drawing/2014/main" id="{7D6D385F-C4F2-9942-B98F-2FF5C6FD707B}"/>
                    </a:ext>
                  </a:extLst>
                </wp:docPr>
                <wp:cNvGraphicFramePr/>
                <a:graphic xmlns:a="http://schemas.openxmlformats.org/drawingml/2006/main">
                  <a:graphicData uri="http://schemas.microsoft.com/office/word/2010/wordprocessingShape">
                    <wps:wsp>
                      <wps:cNvCnPr/>
                      <wps:spPr>
                        <a:xfrm>
                          <a:off x="0" y="0"/>
                          <a:ext cx="558800"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E493BB4" id="_x0000_t32" coordsize="21600,21600" o:spt="32" o:oned="t" path="m,l21600,21600e" filled="f">
                <v:path arrowok="t" fillok="f" o:connecttype="none"/>
                <o:lock v:ext="edit" shapetype="t"/>
              </v:shapetype>
              <v:shape id="Straight Arrow Connector 15" o:spid="_x0000_s1026" type="#_x0000_t32" style="position:absolute;margin-left:-113.3pt;margin-top:670.65pt;width:44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" strokecolor="black [3213]" strokeweight="1pt">
                <v:stroke startarrow="block" joinstyle="miter"/>
              </v:shape>
            </w:pict>
          </mc:Fallback>
        </mc:AlternateContent>
      </w:r>
    </w:p>
    <w:p w14:paraId="22A00254" w14:textId="77777777" w:rsidR="00092E3F" w:rsidRDefault="00092E3F" w:rsidP="00092E3F">
      <w:pPr>
        <w:spacing w:after="0"/>
        <w:jc w:val="center"/>
        <w:rPr>
          <w:rFonts w:ascii="Arial" w:hAnsi="Arial" w:cs="Arial"/>
          <w:b/>
        </w:rPr>
      </w:pPr>
    </w:p>
    <w:p w14:paraId="1A6F31DC" w14:textId="382FF392" w:rsidR="007E5AE9" w:rsidRDefault="007E5AE9" w:rsidP="007E5AE9">
      <w:pPr>
        <w:spacing w:after="120"/>
        <w:jc w:val="center"/>
        <w:rPr>
          <w:rFonts w:ascii="Arial" w:hAnsi="Arial" w:cs="Arial"/>
        </w:rPr>
      </w:pPr>
      <w:r>
        <w:rPr>
          <w:rFonts w:ascii="Arial" w:hAnsi="Arial" w:cs="Arial"/>
          <w:b/>
        </w:rPr>
        <w:t>Figure 2-1 UE P</w:t>
      </w:r>
      <w:r w:rsidRPr="007E5AE9">
        <w:rPr>
          <w:rFonts w:ascii="Arial" w:hAnsi="Arial" w:cs="Arial"/>
          <w:b/>
          <w:vertAlign w:val="subscript"/>
        </w:rPr>
        <w:t>CMAX</w:t>
      </w:r>
      <w:r>
        <w:rPr>
          <w:rFonts w:ascii="Arial" w:hAnsi="Arial" w:cs="Arial"/>
          <w:b/>
        </w:rPr>
        <w:t xml:space="preserve"> </w:t>
      </w:r>
      <w:r w:rsidR="00617BD2">
        <w:rPr>
          <w:rFonts w:ascii="Arial" w:hAnsi="Arial" w:cs="Arial"/>
          <w:b/>
        </w:rPr>
        <w:t>versus</w:t>
      </w:r>
      <w:r>
        <w:rPr>
          <w:rFonts w:ascii="Arial" w:hAnsi="Arial" w:cs="Arial"/>
          <w:b/>
        </w:rPr>
        <w:t xml:space="preserve"> FSPL over operation frequency</w:t>
      </w:r>
    </w:p>
    <w:p w14:paraId="694F45B3" w14:textId="77777777" w:rsidR="007E5AE9" w:rsidRPr="00AC6D4C" w:rsidRDefault="007E5AE9" w:rsidP="007E5AE9">
      <w:pPr>
        <w:spacing w:after="0"/>
        <w:jc w:val="both"/>
        <w:rPr>
          <w:rFonts w:ascii="Arial" w:hAnsi="Arial" w:cs="Arial"/>
        </w:rPr>
      </w:pPr>
    </w:p>
    <w:p w14:paraId="76FD67DF" w14:textId="40CF57E0" w:rsidR="007E5AE9" w:rsidRDefault="007E5AE9" w:rsidP="000A0C3B">
      <w:pPr>
        <w:spacing w:after="120"/>
        <w:jc w:val="both"/>
        <w:rPr>
          <w:rFonts w:ascii="Arial" w:hAnsi="Arial" w:cs="Arial"/>
        </w:rPr>
      </w:pPr>
      <w:r>
        <w:rPr>
          <w:rFonts w:ascii="Arial" w:hAnsi="Arial" w:cs="Arial"/>
        </w:rPr>
        <w:t>Table 2-1 further provides a primitive link budget analysis for UE operating at 60GHz to estimate the required power back-off from P</w:t>
      </w:r>
      <w:r w:rsidRPr="007E5AE9">
        <w:rPr>
          <w:rFonts w:ascii="Arial" w:hAnsi="Arial" w:cs="Arial"/>
          <w:vertAlign w:val="subscript"/>
        </w:rPr>
        <w:t>CMAX</w:t>
      </w:r>
      <w:r>
        <w:rPr>
          <w:rFonts w:ascii="Arial" w:hAnsi="Arial" w:cs="Arial"/>
        </w:rPr>
        <w:t xml:space="preserve"> </w:t>
      </w:r>
      <w:r w:rsidR="00092E3F">
        <w:rPr>
          <w:rFonts w:ascii="Arial" w:hAnsi="Arial" w:cs="Arial"/>
        </w:rPr>
        <w:t xml:space="preserve">at peak EIRP (14 dBm) and spherical coverage EIRP (1 dBm) </w:t>
      </w:r>
      <w:r>
        <w:rPr>
          <w:rFonts w:ascii="Arial" w:hAnsi="Arial" w:cs="Arial"/>
        </w:rPr>
        <w:t>to achieve a target SNR of 25 dB at gNB receiver</w:t>
      </w:r>
      <w:r w:rsidR="00092E3F">
        <w:rPr>
          <w:rFonts w:ascii="Arial" w:hAnsi="Arial" w:cs="Arial"/>
        </w:rPr>
        <w:t xml:space="preserve"> for minimum distance at 10 meters and 1 meter respectively.</w:t>
      </w:r>
    </w:p>
    <w:p w14:paraId="007BDBDE" w14:textId="77777777" w:rsidR="007E5AE9" w:rsidRDefault="007E5AE9" w:rsidP="007E5AE9">
      <w:pPr>
        <w:spacing w:after="0"/>
        <w:jc w:val="both"/>
        <w:rPr>
          <w:rFonts w:ascii="Arial" w:hAnsi="Arial" w:cs="Arial"/>
        </w:rPr>
      </w:pPr>
    </w:p>
    <w:tbl>
      <w:tblPr>
        <w:tblW w:w="8480" w:type="dxa"/>
        <w:jc w:val="center"/>
        <w:tblLook w:val="04A0" w:firstRow="1" w:lastRow="0" w:firstColumn="1" w:lastColumn="0" w:noHBand="0" w:noVBand="1"/>
      </w:tblPr>
      <w:tblGrid>
        <w:gridCol w:w="3280"/>
        <w:gridCol w:w="1300"/>
        <w:gridCol w:w="1300"/>
        <w:gridCol w:w="1300"/>
        <w:gridCol w:w="1300"/>
      </w:tblGrid>
      <w:tr w:rsidR="00092E3F" w:rsidRPr="007E5AE9" w14:paraId="791565D7" w14:textId="0407ADE8" w:rsidTr="00092E3F">
        <w:trPr>
          <w:trHeight w:val="320"/>
          <w:jc w:val="center"/>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AF088B" w14:textId="0B342872"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Frequency (GHz)</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1BD94414"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60</w:t>
            </w:r>
          </w:p>
        </w:tc>
        <w:tc>
          <w:tcPr>
            <w:tcW w:w="1300" w:type="dxa"/>
            <w:tcBorders>
              <w:top w:val="single" w:sz="8" w:space="0" w:color="auto"/>
              <w:left w:val="nil"/>
              <w:bottom w:val="single" w:sz="4" w:space="0" w:color="auto"/>
              <w:right w:val="single" w:sz="8" w:space="0" w:color="auto"/>
            </w:tcBorders>
            <w:vAlign w:val="center"/>
          </w:tcPr>
          <w:p w14:paraId="5E8095B2" w14:textId="5F6BCB59"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60</w:t>
            </w:r>
          </w:p>
        </w:tc>
        <w:tc>
          <w:tcPr>
            <w:tcW w:w="1300" w:type="dxa"/>
            <w:tcBorders>
              <w:top w:val="single" w:sz="8" w:space="0" w:color="auto"/>
              <w:left w:val="nil"/>
              <w:bottom w:val="single" w:sz="4" w:space="0" w:color="auto"/>
              <w:right w:val="single" w:sz="8" w:space="0" w:color="auto"/>
            </w:tcBorders>
            <w:vAlign w:val="center"/>
          </w:tcPr>
          <w:p w14:paraId="3E15AD08" w14:textId="10A3D764"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60</w:t>
            </w:r>
          </w:p>
        </w:tc>
        <w:tc>
          <w:tcPr>
            <w:tcW w:w="1300" w:type="dxa"/>
            <w:tcBorders>
              <w:top w:val="single" w:sz="8" w:space="0" w:color="auto"/>
              <w:left w:val="nil"/>
              <w:bottom w:val="single" w:sz="4" w:space="0" w:color="auto"/>
              <w:right w:val="single" w:sz="8" w:space="0" w:color="auto"/>
            </w:tcBorders>
            <w:vAlign w:val="center"/>
          </w:tcPr>
          <w:p w14:paraId="35A753C1" w14:textId="034A87B4"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60</w:t>
            </w:r>
          </w:p>
        </w:tc>
      </w:tr>
      <w:tr w:rsidR="00092E3F" w:rsidRPr="007E5AE9" w14:paraId="6291186E" w14:textId="6F44EEF9"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44F0DA3F" w14:textId="19A5D0D2"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P</w:t>
            </w:r>
            <w:r w:rsidRPr="007E5AE9">
              <w:rPr>
                <w:rFonts w:ascii="Calibri" w:hAnsi="Calibri" w:cs="Calibri"/>
                <w:color w:val="000000"/>
                <w:vertAlign w:val="subscript"/>
                <w:lang w:val="en-US"/>
              </w:rPr>
              <w:t>CMAX</w:t>
            </w:r>
            <w:r w:rsidRPr="007E5AE9">
              <w:rPr>
                <w:rFonts w:ascii="Calibri" w:hAnsi="Calibri" w:cs="Calibri"/>
                <w:color w:val="000000"/>
                <w:lang w:val="en-US"/>
              </w:rPr>
              <w:t xml:space="preserve"> (dBm)</w:t>
            </w:r>
          </w:p>
        </w:tc>
        <w:tc>
          <w:tcPr>
            <w:tcW w:w="1300" w:type="dxa"/>
            <w:tcBorders>
              <w:top w:val="nil"/>
              <w:left w:val="nil"/>
              <w:bottom w:val="single" w:sz="4" w:space="0" w:color="auto"/>
              <w:right w:val="single" w:sz="8" w:space="0" w:color="auto"/>
            </w:tcBorders>
            <w:shd w:val="clear" w:color="auto" w:fill="auto"/>
            <w:noWrap/>
            <w:vAlign w:val="center"/>
            <w:hideMark/>
          </w:tcPr>
          <w:p w14:paraId="2AE65D2C"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14</w:t>
            </w:r>
          </w:p>
        </w:tc>
        <w:tc>
          <w:tcPr>
            <w:tcW w:w="1300" w:type="dxa"/>
            <w:tcBorders>
              <w:top w:val="nil"/>
              <w:left w:val="nil"/>
              <w:bottom w:val="single" w:sz="4" w:space="0" w:color="auto"/>
              <w:right w:val="single" w:sz="8" w:space="0" w:color="auto"/>
            </w:tcBorders>
            <w:vAlign w:val="center"/>
          </w:tcPr>
          <w:p w14:paraId="23F0DF0B" w14:textId="4564F8FD"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1</w:t>
            </w:r>
          </w:p>
        </w:tc>
        <w:tc>
          <w:tcPr>
            <w:tcW w:w="1300" w:type="dxa"/>
            <w:tcBorders>
              <w:top w:val="nil"/>
              <w:left w:val="nil"/>
              <w:bottom w:val="single" w:sz="4" w:space="0" w:color="auto"/>
              <w:right w:val="single" w:sz="8" w:space="0" w:color="auto"/>
            </w:tcBorders>
            <w:vAlign w:val="center"/>
          </w:tcPr>
          <w:p w14:paraId="589898BF" w14:textId="32CCB49D"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14</w:t>
            </w:r>
          </w:p>
        </w:tc>
        <w:tc>
          <w:tcPr>
            <w:tcW w:w="1300" w:type="dxa"/>
            <w:tcBorders>
              <w:top w:val="nil"/>
              <w:left w:val="nil"/>
              <w:bottom w:val="single" w:sz="4" w:space="0" w:color="auto"/>
              <w:right w:val="single" w:sz="8" w:space="0" w:color="auto"/>
            </w:tcBorders>
            <w:vAlign w:val="center"/>
          </w:tcPr>
          <w:p w14:paraId="4290BAD2" w14:textId="286AAF64"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w:t>
            </w:r>
          </w:p>
        </w:tc>
      </w:tr>
      <w:tr w:rsidR="00092E3F" w:rsidRPr="007E5AE9" w14:paraId="609F3C11" w14:textId="455BE793"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73631DAF"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BW (MHz)</w:t>
            </w:r>
          </w:p>
        </w:tc>
        <w:tc>
          <w:tcPr>
            <w:tcW w:w="1300" w:type="dxa"/>
            <w:tcBorders>
              <w:top w:val="nil"/>
              <w:left w:val="nil"/>
              <w:bottom w:val="single" w:sz="4" w:space="0" w:color="auto"/>
              <w:right w:val="single" w:sz="8" w:space="0" w:color="auto"/>
            </w:tcBorders>
            <w:shd w:val="clear" w:color="auto" w:fill="auto"/>
            <w:noWrap/>
            <w:vAlign w:val="center"/>
            <w:hideMark/>
          </w:tcPr>
          <w:p w14:paraId="3113D355"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100</w:t>
            </w:r>
          </w:p>
        </w:tc>
        <w:tc>
          <w:tcPr>
            <w:tcW w:w="1300" w:type="dxa"/>
            <w:tcBorders>
              <w:top w:val="nil"/>
              <w:left w:val="nil"/>
              <w:bottom w:val="single" w:sz="4" w:space="0" w:color="auto"/>
              <w:right w:val="single" w:sz="8" w:space="0" w:color="auto"/>
            </w:tcBorders>
            <w:vAlign w:val="center"/>
          </w:tcPr>
          <w:p w14:paraId="01E8161F" w14:textId="6D515205"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100</w:t>
            </w:r>
          </w:p>
        </w:tc>
        <w:tc>
          <w:tcPr>
            <w:tcW w:w="1300" w:type="dxa"/>
            <w:tcBorders>
              <w:top w:val="nil"/>
              <w:left w:val="nil"/>
              <w:bottom w:val="single" w:sz="4" w:space="0" w:color="auto"/>
              <w:right w:val="single" w:sz="8" w:space="0" w:color="auto"/>
            </w:tcBorders>
            <w:vAlign w:val="center"/>
          </w:tcPr>
          <w:p w14:paraId="42997EEE" w14:textId="24147D5E"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100</w:t>
            </w:r>
          </w:p>
        </w:tc>
        <w:tc>
          <w:tcPr>
            <w:tcW w:w="1300" w:type="dxa"/>
            <w:tcBorders>
              <w:top w:val="nil"/>
              <w:left w:val="nil"/>
              <w:bottom w:val="single" w:sz="4" w:space="0" w:color="auto"/>
              <w:right w:val="single" w:sz="8" w:space="0" w:color="auto"/>
            </w:tcBorders>
            <w:vAlign w:val="center"/>
          </w:tcPr>
          <w:p w14:paraId="71CFD1B5" w14:textId="25AFDFEB"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100</w:t>
            </w:r>
          </w:p>
        </w:tc>
      </w:tr>
      <w:tr w:rsidR="00092E3F" w:rsidRPr="007E5AE9" w14:paraId="34673826" w14:textId="4CAD0EC1"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57D0505C" w14:textId="17853D80"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Minimum distance to gNB (m)</w:t>
            </w:r>
          </w:p>
        </w:tc>
        <w:tc>
          <w:tcPr>
            <w:tcW w:w="1300" w:type="dxa"/>
            <w:tcBorders>
              <w:top w:val="nil"/>
              <w:left w:val="nil"/>
              <w:bottom w:val="single" w:sz="4" w:space="0" w:color="auto"/>
              <w:right w:val="single" w:sz="8" w:space="0" w:color="auto"/>
            </w:tcBorders>
            <w:shd w:val="clear" w:color="auto" w:fill="auto"/>
            <w:noWrap/>
            <w:vAlign w:val="center"/>
            <w:hideMark/>
          </w:tcPr>
          <w:p w14:paraId="555837F3"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10</w:t>
            </w:r>
          </w:p>
        </w:tc>
        <w:tc>
          <w:tcPr>
            <w:tcW w:w="1300" w:type="dxa"/>
            <w:tcBorders>
              <w:top w:val="nil"/>
              <w:left w:val="nil"/>
              <w:bottom w:val="single" w:sz="4" w:space="0" w:color="auto"/>
              <w:right w:val="single" w:sz="8" w:space="0" w:color="auto"/>
            </w:tcBorders>
            <w:vAlign w:val="center"/>
          </w:tcPr>
          <w:p w14:paraId="4226230E" w14:textId="03ADEDA3"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10</w:t>
            </w:r>
          </w:p>
        </w:tc>
        <w:tc>
          <w:tcPr>
            <w:tcW w:w="1300" w:type="dxa"/>
            <w:tcBorders>
              <w:top w:val="nil"/>
              <w:left w:val="nil"/>
              <w:bottom w:val="single" w:sz="4" w:space="0" w:color="auto"/>
              <w:right w:val="single" w:sz="8" w:space="0" w:color="auto"/>
            </w:tcBorders>
            <w:vAlign w:val="center"/>
          </w:tcPr>
          <w:p w14:paraId="4DFCBC18" w14:textId="411A48E1"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w:t>
            </w:r>
          </w:p>
        </w:tc>
        <w:tc>
          <w:tcPr>
            <w:tcW w:w="1300" w:type="dxa"/>
            <w:tcBorders>
              <w:top w:val="nil"/>
              <w:left w:val="nil"/>
              <w:bottom w:val="single" w:sz="4" w:space="0" w:color="auto"/>
              <w:right w:val="single" w:sz="8" w:space="0" w:color="auto"/>
            </w:tcBorders>
            <w:vAlign w:val="center"/>
          </w:tcPr>
          <w:p w14:paraId="261BE1A6" w14:textId="672DF257"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w:t>
            </w:r>
          </w:p>
        </w:tc>
      </w:tr>
      <w:tr w:rsidR="00092E3F" w:rsidRPr="007E5AE9" w14:paraId="6A891D7A" w14:textId="16AC677D"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76E1DF98"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FSPL (dB)</w:t>
            </w:r>
          </w:p>
        </w:tc>
        <w:tc>
          <w:tcPr>
            <w:tcW w:w="1300" w:type="dxa"/>
            <w:tcBorders>
              <w:top w:val="nil"/>
              <w:left w:val="nil"/>
              <w:bottom w:val="single" w:sz="4" w:space="0" w:color="auto"/>
              <w:right w:val="single" w:sz="8" w:space="0" w:color="auto"/>
            </w:tcBorders>
            <w:shd w:val="clear" w:color="auto" w:fill="auto"/>
            <w:noWrap/>
            <w:vAlign w:val="center"/>
            <w:hideMark/>
          </w:tcPr>
          <w:p w14:paraId="4D55AADF"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88</w:t>
            </w:r>
          </w:p>
        </w:tc>
        <w:tc>
          <w:tcPr>
            <w:tcW w:w="1300" w:type="dxa"/>
            <w:tcBorders>
              <w:top w:val="nil"/>
              <w:left w:val="nil"/>
              <w:bottom w:val="single" w:sz="4" w:space="0" w:color="auto"/>
              <w:right w:val="single" w:sz="8" w:space="0" w:color="auto"/>
            </w:tcBorders>
            <w:vAlign w:val="center"/>
          </w:tcPr>
          <w:p w14:paraId="5AF9CA4A" w14:textId="1898B0BA"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88</w:t>
            </w:r>
          </w:p>
        </w:tc>
        <w:tc>
          <w:tcPr>
            <w:tcW w:w="1300" w:type="dxa"/>
            <w:tcBorders>
              <w:top w:val="nil"/>
              <w:left w:val="nil"/>
              <w:bottom w:val="single" w:sz="4" w:space="0" w:color="auto"/>
              <w:right w:val="single" w:sz="8" w:space="0" w:color="auto"/>
            </w:tcBorders>
            <w:vAlign w:val="center"/>
          </w:tcPr>
          <w:p w14:paraId="75889989" w14:textId="4BE552B1"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68</w:t>
            </w:r>
          </w:p>
        </w:tc>
        <w:tc>
          <w:tcPr>
            <w:tcW w:w="1300" w:type="dxa"/>
            <w:tcBorders>
              <w:top w:val="nil"/>
              <w:left w:val="nil"/>
              <w:bottom w:val="single" w:sz="4" w:space="0" w:color="auto"/>
              <w:right w:val="single" w:sz="8" w:space="0" w:color="auto"/>
            </w:tcBorders>
            <w:vAlign w:val="center"/>
          </w:tcPr>
          <w:p w14:paraId="6F0AD324" w14:textId="64D845FF"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68</w:t>
            </w:r>
          </w:p>
        </w:tc>
      </w:tr>
      <w:tr w:rsidR="00092E3F" w:rsidRPr="007E5AE9" w14:paraId="0A0E5293" w14:textId="0D52F6C8"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293CC3D0"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gNB REFSENS (dBm)</w:t>
            </w:r>
          </w:p>
        </w:tc>
        <w:tc>
          <w:tcPr>
            <w:tcW w:w="1300" w:type="dxa"/>
            <w:tcBorders>
              <w:top w:val="nil"/>
              <w:left w:val="nil"/>
              <w:bottom w:val="single" w:sz="4" w:space="0" w:color="auto"/>
              <w:right w:val="single" w:sz="8" w:space="0" w:color="auto"/>
            </w:tcBorders>
            <w:shd w:val="clear" w:color="auto" w:fill="auto"/>
            <w:noWrap/>
            <w:vAlign w:val="center"/>
            <w:hideMark/>
          </w:tcPr>
          <w:p w14:paraId="45F2AE1C"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-90</w:t>
            </w:r>
          </w:p>
        </w:tc>
        <w:tc>
          <w:tcPr>
            <w:tcW w:w="1300" w:type="dxa"/>
            <w:tcBorders>
              <w:top w:val="nil"/>
              <w:left w:val="nil"/>
              <w:bottom w:val="single" w:sz="4" w:space="0" w:color="auto"/>
              <w:right w:val="single" w:sz="8" w:space="0" w:color="auto"/>
            </w:tcBorders>
            <w:vAlign w:val="center"/>
          </w:tcPr>
          <w:p w14:paraId="0E0A1CE7" w14:textId="42472E98"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-90</w:t>
            </w:r>
          </w:p>
        </w:tc>
        <w:tc>
          <w:tcPr>
            <w:tcW w:w="1300" w:type="dxa"/>
            <w:tcBorders>
              <w:top w:val="nil"/>
              <w:left w:val="nil"/>
              <w:bottom w:val="single" w:sz="4" w:space="0" w:color="auto"/>
              <w:right w:val="single" w:sz="8" w:space="0" w:color="auto"/>
            </w:tcBorders>
            <w:vAlign w:val="center"/>
          </w:tcPr>
          <w:p w14:paraId="35ED6D3E" w14:textId="4F1FB035"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-90</w:t>
            </w:r>
          </w:p>
        </w:tc>
        <w:tc>
          <w:tcPr>
            <w:tcW w:w="1300" w:type="dxa"/>
            <w:tcBorders>
              <w:top w:val="nil"/>
              <w:left w:val="nil"/>
              <w:bottom w:val="single" w:sz="4" w:space="0" w:color="auto"/>
              <w:right w:val="single" w:sz="8" w:space="0" w:color="auto"/>
            </w:tcBorders>
            <w:vAlign w:val="center"/>
          </w:tcPr>
          <w:p w14:paraId="42D1FCF2" w14:textId="119C297F"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-90</w:t>
            </w:r>
          </w:p>
        </w:tc>
      </w:tr>
      <w:tr w:rsidR="00092E3F" w:rsidRPr="007E5AE9" w14:paraId="465B081B" w14:textId="0CE1A2CA"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6282822E"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SNR at gNB (dB)</w:t>
            </w:r>
          </w:p>
        </w:tc>
        <w:tc>
          <w:tcPr>
            <w:tcW w:w="1300" w:type="dxa"/>
            <w:tcBorders>
              <w:top w:val="nil"/>
              <w:left w:val="nil"/>
              <w:bottom w:val="single" w:sz="4" w:space="0" w:color="auto"/>
              <w:right w:val="single" w:sz="8" w:space="0" w:color="auto"/>
            </w:tcBorders>
            <w:shd w:val="clear" w:color="auto" w:fill="auto"/>
            <w:noWrap/>
            <w:vAlign w:val="center"/>
            <w:hideMark/>
          </w:tcPr>
          <w:p w14:paraId="554154B2"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25</w:t>
            </w:r>
          </w:p>
        </w:tc>
        <w:tc>
          <w:tcPr>
            <w:tcW w:w="1300" w:type="dxa"/>
            <w:tcBorders>
              <w:top w:val="nil"/>
              <w:left w:val="nil"/>
              <w:bottom w:val="single" w:sz="4" w:space="0" w:color="auto"/>
              <w:right w:val="single" w:sz="8" w:space="0" w:color="auto"/>
            </w:tcBorders>
            <w:vAlign w:val="center"/>
          </w:tcPr>
          <w:p w14:paraId="5FE8F4A4" w14:textId="610C302B"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25</w:t>
            </w:r>
          </w:p>
        </w:tc>
        <w:tc>
          <w:tcPr>
            <w:tcW w:w="1300" w:type="dxa"/>
            <w:tcBorders>
              <w:top w:val="nil"/>
              <w:left w:val="nil"/>
              <w:bottom w:val="single" w:sz="4" w:space="0" w:color="auto"/>
              <w:right w:val="single" w:sz="8" w:space="0" w:color="auto"/>
            </w:tcBorders>
            <w:vAlign w:val="center"/>
          </w:tcPr>
          <w:p w14:paraId="2F198DB1" w14:textId="556EB40C"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25</w:t>
            </w:r>
          </w:p>
        </w:tc>
        <w:tc>
          <w:tcPr>
            <w:tcW w:w="1300" w:type="dxa"/>
            <w:tcBorders>
              <w:top w:val="nil"/>
              <w:left w:val="nil"/>
              <w:bottom w:val="single" w:sz="4" w:space="0" w:color="auto"/>
              <w:right w:val="single" w:sz="8" w:space="0" w:color="auto"/>
            </w:tcBorders>
            <w:vAlign w:val="center"/>
          </w:tcPr>
          <w:p w14:paraId="472ECED0" w14:textId="3A27322E"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25</w:t>
            </w:r>
          </w:p>
        </w:tc>
      </w:tr>
      <w:tr w:rsidR="00092E3F" w:rsidRPr="007E5AE9" w14:paraId="33410D6D" w14:textId="69C0DA93"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2D52CCAD"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UL signal power at gNB (dBm)</w:t>
            </w:r>
          </w:p>
        </w:tc>
        <w:tc>
          <w:tcPr>
            <w:tcW w:w="1300" w:type="dxa"/>
            <w:tcBorders>
              <w:top w:val="nil"/>
              <w:left w:val="nil"/>
              <w:bottom w:val="single" w:sz="4" w:space="0" w:color="auto"/>
              <w:right w:val="single" w:sz="8" w:space="0" w:color="auto"/>
            </w:tcBorders>
            <w:shd w:val="clear" w:color="auto" w:fill="auto"/>
            <w:noWrap/>
            <w:vAlign w:val="center"/>
            <w:hideMark/>
          </w:tcPr>
          <w:p w14:paraId="0666DD36"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-65</w:t>
            </w:r>
          </w:p>
        </w:tc>
        <w:tc>
          <w:tcPr>
            <w:tcW w:w="1300" w:type="dxa"/>
            <w:tcBorders>
              <w:top w:val="nil"/>
              <w:left w:val="nil"/>
              <w:bottom w:val="single" w:sz="4" w:space="0" w:color="auto"/>
              <w:right w:val="single" w:sz="8" w:space="0" w:color="auto"/>
            </w:tcBorders>
            <w:vAlign w:val="center"/>
          </w:tcPr>
          <w:p w14:paraId="5DCC3213" w14:textId="1C6C7DD2"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-65</w:t>
            </w:r>
          </w:p>
        </w:tc>
        <w:tc>
          <w:tcPr>
            <w:tcW w:w="1300" w:type="dxa"/>
            <w:tcBorders>
              <w:top w:val="nil"/>
              <w:left w:val="nil"/>
              <w:bottom w:val="single" w:sz="4" w:space="0" w:color="auto"/>
              <w:right w:val="single" w:sz="8" w:space="0" w:color="auto"/>
            </w:tcBorders>
            <w:vAlign w:val="center"/>
          </w:tcPr>
          <w:p w14:paraId="59EBA138" w14:textId="466D57FB"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-65</w:t>
            </w:r>
          </w:p>
        </w:tc>
        <w:tc>
          <w:tcPr>
            <w:tcW w:w="1300" w:type="dxa"/>
            <w:tcBorders>
              <w:top w:val="nil"/>
              <w:left w:val="nil"/>
              <w:bottom w:val="single" w:sz="4" w:space="0" w:color="auto"/>
              <w:right w:val="single" w:sz="8" w:space="0" w:color="auto"/>
            </w:tcBorders>
            <w:vAlign w:val="center"/>
          </w:tcPr>
          <w:p w14:paraId="268E3184" w14:textId="52C41A8F"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-65</w:t>
            </w:r>
          </w:p>
        </w:tc>
      </w:tr>
      <w:tr w:rsidR="00092E3F" w:rsidRPr="007E5AE9" w14:paraId="301FEC8D" w14:textId="380E4EF3" w:rsidTr="00092E3F">
        <w:trPr>
          <w:trHeight w:val="340"/>
          <w:jc w:val="center"/>
        </w:trPr>
        <w:tc>
          <w:tcPr>
            <w:tcW w:w="3280" w:type="dxa"/>
            <w:tcBorders>
              <w:top w:val="nil"/>
              <w:left w:val="single" w:sz="8" w:space="0" w:color="auto"/>
              <w:bottom w:val="single" w:sz="8" w:space="0" w:color="auto"/>
              <w:right w:val="single" w:sz="4" w:space="0" w:color="auto"/>
            </w:tcBorders>
            <w:shd w:val="clear" w:color="auto" w:fill="auto"/>
            <w:noWrap/>
            <w:vAlign w:val="center"/>
            <w:hideMark/>
          </w:tcPr>
          <w:p w14:paraId="61ACD9E6"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Power reduction required (dB)</w:t>
            </w:r>
          </w:p>
        </w:tc>
        <w:tc>
          <w:tcPr>
            <w:tcW w:w="1300" w:type="dxa"/>
            <w:tcBorders>
              <w:top w:val="nil"/>
              <w:left w:val="nil"/>
              <w:bottom w:val="single" w:sz="8" w:space="0" w:color="auto"/>
              <w:right w:val="single" w:sz="8" w:space="0" w:color="auto"/>
            </w:tcBorders>
            <w:shd w:val="clear" w:color="auto" w:fill="auto"/>
            <w:noWrap/>
            <w:vAlign w:val="center"/>
            <w:hideMark/>
          </w:tcPr>
          <w:p w14:paraId="28A07E74"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-9</w:t>
            </w:r>
          </w:p>
        </w:tc>
        <w:tc>
          <w:tcPr>
            <w:tcW w:w="1300" w:type="dxa"/>
            <w:tcBorders>
              <w:top w:val="nil"/>
              <w:left w:val="nil"/>
              <w:bottom w:val="single" w:sz="8" w:space="0" w:color="auto"/>
              <w:right w:val="single" w:sz="8" w:space="0" w:color="auto"/>
            </w:tcBorders>
            <w:vAlign w:val="center"/>
          </w:tcPr>
          <w:p w14:paraId="796C2C59" w14:textId="266F8648"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-22</w:t>
            </w:r>
          </w:p>
        </w:tc>
        <w:tc>
          <w:tcPr>
            <w:tcW w:w="1300" w:type="dxa"/>
            <w:tcBorders>
              <w:top w:val="nil"/>
              <w:left w:val="nil"/>
              <w:bottom w:val="single" w:sz="8" w:space="0" w:color="auto"/>
              <w:right w:val="single" w:sz="8" w:space="0" w:color="auto"/>
            </w:tcBorders>
            <w:vAlign w:val="center"/>
          </w:tcPr>
          <w:p w14:paraId="46D56EA6" w14:textId="70A20A84"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11</w:t>
            </w:r>
          </w:p>
        </w:tc>
        <w:tc>
          <w:tcPr>
            <w:tcW w:w="1300" w:type="dxa"/>
            <w:tcBorders>
              <w:top w:val="single" w:sz="4" w:space="0" w:color="auto"/>
              <w:left w:val="nil"/>
              <w:bottom w:val="single" w:sz="8" w:space="0" w:color="auto"/>
              <w:right w:val="single" w:sz="8" w:space="0" w:color="auto"/>
            </w:tcBorders>
            <w:shd w:val="clear" w:color="auto" w:fill="FFFF00"/>
            <w:vAlign w:val="center"/>
          </w:tcPr>
          <w:p w14:paraId="17F78A62" w14:textId="5802AC67"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w:t>
            </w:r>
          </w:p>
        </w:tc>
      </w:tr>
    </w:tbl>
    <w:p w14:paraId="38288113" w14:textId="77777777" w:rsidR="007E5AE9" w:rsidRDefault="007E5AE9" w:rsidP="007E5AE9">
      <w:pPr>
        <w:spacing w:after="0"/>
        <w:jc w:val="both"/>
        <w:rPr>
          <w:rFonts w:ascii="Arial" w:hAnsi="Arial" w:cs="Arial"/>
        </w:rPr>
      </w:pPr>
    </w:p>
    <w:p w14:paraId="7DA78E91" w14:textId="0D49C031" w:rsidR="0041733B" w:rsidRDefault="007E5AE9" w:rsidP="007E5AE9">
      <w:pPr>
        <w:spacing w:after="120"/>
        <w:jc w:val="center"/>
        <w:rPr>
          <w:rFonts w:ascii="Arial" w:hAnsi="Arial" w:cs="Arial"/>
        </w:rPr>
      </w:pPr>
      <w:r>
        <w:rPr>
          <w:rFonts w:ascii="Arial" w:hAnsi="Arial" w:cs="Arial"/>
          <w:b/>
        </w:rPr>
        <w:t>Table 2-1 Estimation of required power back-off from P</w:t>
      </w:r>
      <w:r w:rsidRPr="007E5AE9">
        <w:rPr>
          <w:rFonts w:ascii="Arial" w:hAnsi="Arial" w:cs="Arial"/>
          <w:b/>
          <w:vertAlign w:val="subscript"/>
        </w:rPr>
        <w:t>CMAX</w:t>
      </w:r>
      <w:r>
        <w:rPr>
          <w:rFonts w:ascii="Arial" w:hAnsi="Arial" w:cs="Arial"/>
          <w:b/>
        </w:rPr>
        <w:t xml:space="preserve"> to achieve 25dB SNR at gNB receiver </w:t>
      </w:r>
    </w:p>
    <w:p w14:paraId="6AC17105" w14:textId="1A19C24E" w:rsidR="0041733B" w:rsidRDefault="0041733B" w:rsidP="0041733B">
      <w:pPr>
        <w:spacing w:after="0"/>
        <w:jc w:val="both"/>
        <w:rPr>
          <w:rFonts w:ascii="Arial" w:hAnsi="Arial" w:cs="Arial"/>
        </w:rPr>
      </w:pPr>
    </w:p>
    <w:p w14:paraId="2EB9348F" w14:textId="50EC7D8E" w:rsidR="007E5AE9" w:rsidRDefault="007E5AE9" w:rsidP="000A0C3B">
      <w:pPr>
        <w:spacing w:after="120"/>
        <w:jc w:val="both"/>
        <w:rPr>
          <w:rFonts w:ascii="Arial" w:hAnsi="Arial" w:cs="Arial"/>
        </w:rPr>
      </w:pPr>
      <w:r>
        <w:rPr>
          <w:rFonts w:ascii="Arial" w:hAnsi="Arial" w:cs="Arial"/>
        </w:rPr>
        <w:t>It can be seen that at 60GHz operating frequency, the required power back-off from P</w:t>
      </w:r>
      <w:r w:rsidRPr="007E5AE9">
        <w:rPr>
          <w:rFonts w:ascii="Arial" w:hAnsi="Arial" w:cs="Arial"/>
          <w:vertAlign w:val="subscript"/>
        </w:rPr>
        <w:t>CMAX</w:t>
      </w:r>
      <w:r>
        <w:rPr>
          <w:rFonts w:ascii="Arial" w:hAnsi="Arial" w:cs="Arial"/>
        </w:rPr>
        <w:t xml:space="preserve"> </w:t>
      </w:r>
      <w:r w:rsidR="00092E3F">
        <w:rPr>
          <w:rFonts w:ascii="Arial" w:hAnsi="Arial" w:cs="Arial"/>
        </w:rPr>
        <w:t xml:space="preserve">(spherical coverage EIRP) </w:t>
      </w:r>
      <w:r>
        <w:rPr>
          <w:rFonts w:ascii="Arial" w:hAnsi="Arial" w:cs="Arial"/>
        </w:rPr>
        <w:t>is a negative value</w:t>
      </w:r>
      <w:r w:rsidR="00092E3F">
        <w:rPr>
          <w:rFonts w:ascii="Arial" w:hAnsi="Arial" w:cs="Arial"/>
        </w:rPr>
        <w:t xml:space="preserve"> even at 1m distance from base station</w:t>
      </w:r>
      <w:r>
        <w:rPr>
          <w:rFonts w:ascii="Arial" w:hAnsi="Arial" w:cs="Arial"/>
        </w:rPr>
        <w:t xml:space="preserve"> which means UE would always operate at P</w:t>
      </w:r>
      <w:r w:rsidRPr="007E5AE9">
        <w:rPr>
          <w:rFonts w:ascii="Arial" w:hAnsi="Arial" w:cs="Arial"/>
          <w:vertAlign w:val="subscript"/>
        </w:rPr>
        <w:t>CMAX</w:t>
      </w:r>
      <w:r>
        <w:rPr>
          <w:rFonts w:ascii="Arial" w:hAnsi="Arial" w:cs="Arial"/>
        </w:rPr>
        <w:t xml:space="preserve">. </w:t>
      </w:r>
      <w:r w:rsidR="00F164A5">
        <w:rPr>
          <w:rFonts w:ascii="Arial" w:eastAsia="SimSun" w:hAnsi="Arial" w:cs="Arial"/>
          <w:lang w:eastAsia="zh-CN"/>
        </w:rPr>
        <w:t>In the rare case where gNB is located at 1m away along with UE’s peak EIRP direction, 11dB power back</w:t>
      </w:r>
      <w:r w:rsidR="003F15CD">
        <w:rPr>
          <w:rFonts w:ascii="Arial" w:eastAsia="SimSun" w:hAnsi="Arial" w:cs="Arial"/>
          <w:lang w:eastAsia="zh-CN"/>
        </w:rPr>
        <w:t>-</w:t>
      </w:r>
      <w:r w:rsidR="00F164A5">
        <w:rPr>
          <w:rFonts w:ascii="Arial" w:eastAsia="SimSun" w:hAnsi="Arial" w:cs="Arial"/>
          <w:lang w:eastAsia="zh-CN"/>
        </w:rPr>
        <w:t>off from P</w:t>
      </w:r>
      <w:r w:rsidR="00FA0FE9" w:rsidRPr="007E5AE9">
        <w:rPr>
          <w:rFonts w:ascii="Arial" w:hAnsi="Arial" w:cs="Arial"/>
          <w:vertAlign w:val="subscript"/>
        </w:rPr>
        <w:t>CMAX</w:t>
      </w:r>
      <w:r w:rsidR="00F164A5">
        <w:rPr>
          <w:rFonts w:ascii="Arial" w:eastAsia="SimSun" w:hAnsi="Arial" w:cs="Arial"/>
          <w:lang w:eastAsia="zh-CN"/>
        </w:rPr>
        <w:t xml:space="preserve"> may be applied.</w:t>
      </w:r>
    </w:p>
    <w:p w14:paraId="40677F0D" w14:textId="77777777" w:rsidR="007E5AE9" w:rsidRDefault="007E5AE9" w:rsidP="007E5AE9">
      <w:pPr>
        <w:spacing w:after="0"/>
        <w:jc w:val="both"/>
        <w:rPr>
          <w:rFonts w:ascii="Arial" w:hAnsi="Arial" w:cs="Arial"/>
        </w:rPr>
      </w:pPr>
    </w:p>
    <w:p w14:paraId="216BE110" w14:textId="0C825200" w:rsidR="007E5AE9" w:rsidRPr="007E5AE9" w:rsidRDefault="007E5AE9" w:rsidP="000A0C3B">
      <w:pPr>
        <w:spacing w:after="120"/>
        <w:jc w:val="both"/>
        <w:rPr>
          <w:rFonts w:ascii="Arial" w:hAnsi="Arial" w:cs="Arial"/>
          <w:i/>
          <w:iCs/>
        </w:rPr>
      </w:pPr>
      <w:r w:rsidRPr="007E5AE9">
        <w:rPr>
          <w:rFonts w:ascii="Arial" w:hAnsi="Arial" w:cs="Arial"/>
          <w:b/>
          <w:bCs/>
          <w:i/>
          <w:iCs/>
        </w:rPr>
        <w:t xml:space="preserve">Observation </w:t>
      </w:r>
      <w:r w:rsidR="00CE221C">
        <w:rPr>
          <w:rFonts w:ascii="Arial" w:hAnsi="Arial" w:cs="Arial"/>
          <w:b/>
          <w:bCs/>
          <w:i/>
          <w:iCs/>
        </w:rPr>
        <w:t>5</w:t>
      </w:r>
      <w:r w:rsidRPr="007E5AE9">
        <w:rPr>
          <w:rFonts w:ascii="Arial" w:hAnsi="Arial" w:cs="Arial"/>
          <w:i/>
          <w:iCs/>
        </w:rPr>
        <w:t>: UE at 60</w:t>
      </w:r>
      <w:r>
        <w:rPr>
          <w:rFonts w:ascii="Arial" w:hAnsi="Arial" w:cs="Arial"/>
          <w:i/>
          <w:iCs/>
        </w:rPr>
        <w:t xml:space="preserve"> </w:t>
      </w:r>
      <w:r w:rsidRPr="007E5AE9">
        <w:rPr>
          <w:rFonts w:ascii="Arial" w:hAnsi="Arial" w:cs="Arial"/>
          <w:i/>
          <w:iCs/>
        </w:rPr>
        <w:t>GHz and above ranges may always operate at P</w:t>
      </w:r>
      <w:r w:rsidRPr="007E5AE9">
        <w:rPr>
          <w:rFonts w:ascii="Arial" w:hAnsi="Arial" w:cs="Arial"/>
          <w:i/>
          <w:iCs/>
          <w:vertAlign w:val="subscript"/>
        </w:rPr>
        <w:t>CMAX</w:t>
      </w:r>
      <w:r w:rsidRPr="007E5AE9">
        <w:rPr>
          <w:rFonts w:ascii="Arial" w:hAnsi="Arial" w:cs="Arial"/>
          <w:i/>
          <w:iCs/>
        </w:rPr>
        <w:t xml:space="preserve"> in order to achieve the desired SNR at gNB receiver.</w:t>
      </w:r>
    </w:p>
    <w:p w14:paraId="5A2DC65E" w14:textId="109D5084" w:rsidR="007E5AE9" w:rsidRDefault="007E5AE9" w:rsidP="007E5AE9">
      <w:pPr>
        <w:spacing w:after="0"/>
        <w:jc w:val="both"/>
        <w:rPr>
          <w:rFonts w:ascii="Arial" w:hAnsi="Arial" w:cs="Arial"/>
        </w:rPr>
      </w:pPr>
    </w:p>
    <w:p w14:paraId="2023F505" w14:textId="74A051E7" w:rsidR="00DD52B7" w:rsidRDefault="00F164A5" w:rsidP="00DD52B7">
      <w:pPr>
        <w:spacing w:after="120"/>
        <w:jc w:val="both"/>
        <w:rPr>
          <w:rFonts w:ascii="Arial" w:hAnsi="Arial" w:cs="Arial"/>
        </w:rPr>
      </w:pPr>
      <w:r>
        <w:rPr>
          <w:rFonts w:ascii="Arial" w:hAnsi="Arial" w:cs="Arial"/>
        </w:rPr>
        <w:t>For open loop power control during initial access, the current FR2 absolute power requirement allows ±12dB tolerance in the top 12dB range from P</w:t>
      </w:r>
      <w:r w:rsidR="00FA0FE9" w:rsidRPr="007E5AE9">
        <w:rPr>
          <w:rFonts w:ascii="Arial" w:hAnsi="Arial" w:cs="Arial"/>
          <w:vertAlign w:val="subscript"/>
        </w:rPr>
        <w:t>CMAX</w:t>
      </w:r>
      <w:r>
        <w:rPr>
          <w:rFonts w:ascii="Arial" w:hAnsi="Arial" w:cs="Arial"/>
        </w:rPr>
        <w:t>. Based on the above analysis, we would expect UE output power to be within this range at all times</w:t>
      </w:r>
      <w:r w:rsidR="00FA0FE9">
        <w:rPr>
          <w:rFonts w:ascii="Arial" w:hAnsi="Arial" w:cs="Arial"/>
        </w:rPr>
        <w:t>.</w:t>
      </w:r>
      <w:r>
        <w:rPr>
          <w:rFonts w:ascii="Arial" w:hAnsi="Arial" w:cs="Arial"/>
        </w:rPr>
        <w:t xml:space="preserve"> </w:t>
      </w:r>
      <w:r w:rsidR="00FA0FE9">
        <w:rPr>
          <w:rFonts w:ascii="Arial" w:hAnsi="Arial" w:cs="Arial"/>
        </w:rPr>
        <w:t>A</w:t>
      </w:r>
      <w:r>
        <w:rPr>
          <w:rFonts w:ascii="Arial" w:hAnsi="Arial" w:cs="Arial"/>
        </w:rPr>
        <w:t xml:space="preserve">nd </w:t>
      </w:r>
      <w:r w:rsidR="00DD52B7">
        <w:rPr>
          <w:rFonts w:ascii="Arial" w:hAnsi="Arial" w:cs="Arial"/>
        </w:rPr>
        <w:t xml:space="preserve">at </w:t>
      </w:r>
      <w:r>
        <w:rPr>
          <w:rFonts w:ascii="Arial" w:hAnsi="Arial" w:cs="Arial"/>
        </w:rPr>
        <w:t xml:space="preserve">the </w:t>
      </w:r>
      <w:r w:rsidR="00FA0FE9">
        <w:rPr>
          <w:rFonts w:ascii="Arial" w:hAnsi="Arial" w:cs="Arial"/>
        </w:rPr>
        <w:t xml:space="preserve">absolute power </w:t>
      </w:r>
      <w:r>
        <w:rPr>
          <w:rFonts w:ascii="Arial" w:hAnsi="Arial" w:cs="Arial"/>
        </w:rPr>
        <w:t xml:space="preserve">upper tolerance would </w:t>
      </w:r>
      <w:r w:rsidR="00FA0FE9">
        <w:rPr>
          <w:rFonts w:ascii="Arial" w:hAnsi="Arial" w:cs="Arial"/>
        </w:rPr>
        <w:t>imply</w:t>
      </w:r>
      <w:r>
        <w:rPr>
          <w:rFonts w:ascii="Arial" w:hAnsi="Arial" w:cs="Arial"/>
        </w:rPr>
        <w:t xml:space="preserve"> that </w:t>
      </w:r>
      <w:r w:rsidR="00DD52B7">
        <w:rPr>
          <w:rFonts w:ascii="Arial" w:hAnsi="Arial" w:cs="Arial"/>
        </w:rPr>
        <w:t>UE will be operating at P</w:t>
      </w:r>
      <w:r w:rsidR="00FA0FE9" w:rsidRPr="007E5AE9">
        <w:rPr>
          <w:rFonts w:ascii="Arial" w:hAnsi="Arial" w:cs="Arial"/>
          <w:vertAlign w:val="subscript"/>
        </w:rPr>
        <w:t>CMAX</w:t>
      </w:r>
      <w:r w:rsidR="00DD52B7">
        <w:rPr>
          <w:rFonts w:ascii="Arial" w:hAnsi="Arial" w:cs="Arial"/>
        </w:rPr>
        <w:t>.</w:t>
      </w:r>
    </w:p>
    <w:p w14:paraId="012EF2AA" w14:textId="77777777" w:rsidR="00DD52B7" w:rsidRDefault="00DD52B7" w:rsidP="007E5AE9">
      <w:pPr>
        <w:spacing w:after="0"/>
        <w:jc w:val="both"/>
        <w:rPr>
          <w:rFonts w:ascii="Arial" w:hAnsi="Arial" w:cs="Arial"/>
        </w:rPr>
      </w:pPr>
    </w:p>
    <w:p w14:paraId="354649CF" w14:textId="06B7B3AE" w:rsidR="00DD52B7" w:rsidRPr="007E5AE9" w:rsidRDefault="00DD52B7" w:rsidP="00DD52B7">
      <w:pPr>
        <w:spacing w:after="120"/>
        <w:jc w:val="both"/>
        <w:rPr>
          <w:rFonts w:ascii="Arial" w:hAnsi="Arial" w:cs="Arial"/>
          <w:i/>
          <w:iCs/>
        </w:rPr>
      </w:pPr>
      <w:r w:rsidRPr="007E5AE9">
        <w:rPr>
          <w:rFonts w:ascii="Arial" w:hAnsi="Arial" w:cs="Arial"/>
          <w:b/>
          <w:bCs/>
          <w:i/>
          <w:iCs/>
        </w:rPr>
        <w:t xml:space="preserve">Observation </w:t>
      </w:r>
      <w:r w:rsidR="00CE221C">
        <w:rPr>
          <w:rFonts w:ascii="Arial" w:hAnsi="Arial" w:cs="Arial"/>
          <w:b/>
          <w:bCs/>
          <w:i/>
          <w:iCs/>
        </w:rPr>
        <w:t>6</w:t>
      </w:r>
      <w:r w:rsidRPr="007E5AE9">
        <w:rPr>
          <w:rFonts w:ascii="Arial" w:hAnsi="Arial" w:cs="Arial"/>
          <w:i/>
          <w:iCs/>
        </w:rPr>
        <w:t xml:space="preserve">: </w:t>
      </w:r>
      <w:r>
        <w:rPr>
          <w:rFonts w:ascii="Arial" w:hAnsi="Arial" w:cs="Arial"/>
          <w:i/>
          <w:iCs/>
        </w:rPr>
        <w:t>The +12dB absolute power tolerance for open loop power control would imply that UE will be operating at P</w:t>
      </w:r>
      <w:r w:rsidR="00BF6A1B" w:rsidRPr="00BF6A1B">
        <w:rPr>
          <w:rFonts w:ascii="Arial" w:hAnsi="Arial" w:cs="Arial"/>
          <w:i/>
          <w:iCs/>
          <w:vertAlign w:val="subscript"/>
        </w:rPr>
        <w:t>CMAX</w:t>
      </w:r>
      <w:r>
        <w:rPr>
          <w:rFonts w:ascii="Arial" w:hAnsi="Arial" w:cs="Arial"/>
          <w:i/>
          <w:iCs/>
        </w:rPr>
        <w:t>.</w:t>
      </w:r>
    </w:p>
    <w:p w14:paraId="678D5D6F" w14:textId="77777777" w:rsidR="00DD52B7" w:rsidRDefault="00DD52B7" w:rsidP="007E5AE9">
      <w:pPr>
        <w:spacing w:after="0"/>
        <w:jc w:val="both"/>
        <w:rPr>
          <w:rFonts w:ascii="Arial" w:hAnsi="Arial" w:cs="Arial"/>
        </w:rPr>
      </w:pPr>
    </w:p>
    <w:p w14:paraId="7E269D55" w14:textId="474EA0A9" w:rsidR="00F164A5" w:rsidRDefault="00DD52B7" w:rsidP="00DD52B7">
      <w:pPr>
        <w:spacing w:after="120"/>
        <w:jc w:val="both"/>
        <w:rPr>
          <w:rFonts w:ascii="Arial" w:hAnsi="Arial" w:cs="Arial"/>
        </w:rPr>
      </w:pPr>
      <w:r w:rsidRPr="00DD52B7">
        <w:rPr>
          <w:rFonts w:ascii="Arial" w:hAnsi="Arial" w:cs="Arial"/>
        </w:rPr>
        <w:t xml:space="preserve">On the other hand, the </w:t>
      </w:r>
      <w:r>
        <w:rPr>
          <w:rFonts w:ascii="Arial" w:hAnsi="Arial" w:cs="Arial"/>
        </w:rPr>
        <w:t>-12dB absolute power l</w:t>
      </w:r>
      <w:r w:rsidRPr="00DD52B7">
        <w:rPr>
          <w:rFonts w:ascii="Arial" w:hAnsi="Arial" w:cs="Arial"/>
        </w:rPr>
        <w:t xml:space="preserve">ower tolerance may cause UE to be out of UL coverage range. </w:t>
      </w:r>
      <w:r>
        <w:rPr>
          <w:rFonts w:ascii="Arial" w:hAnsi="Arial" w:cs="Arial"/>
        </w:rPr>
        <w:t>In that case</w:t>
      </w:r>
      <w:r w:rsidRPr="00DD52B7">
        <w:rPr>
          <w:rFonts w:ascii="Arial" w:hAnsi="Arial" w:cs="Arial"/>
        </w:rPr>
        <w:t xml:space="preserve"> UE would need to gradually increase its output power till PRACH preamble can be decoded by the base station. This would mean a longer initial access process.</w:t>
      </w:r>
    </w:p>
    <w:p w14:paraId="2E764FEF" w14:textId="0BE543D1" w:rsidR="00DD52B7" w:rsidRDefault="00DD52B7" w:rsidP="00DD52B7">
      <w:pPr>
        <w:spacing w:after="0"/>
        <w:jc w:val="both"/>
        <w:rPr>
          <w:rFonts w:ascii="Arial" w:hAnsi="Arial" w:cs="Arial"/>
        </w:rPr>
      </w:pPr>
    </w:p>
    <w:p w14:paraId="7567610B" w14:textId="2B2374B3" w:rsidR="00DD52B7" w:rsidRDefault="00DD52B7" w:rsidP="00DD52B7">
      <w:pPr>
        <w:spacing w:after="120"/>
        <w:jc w:val="both"/>
        <w:rPr>
          <w:rFonts w:ascii="Arial" w:hAnsi="Arial" w:cs="Arial"/>
        </w:rPr>
      </w:pPr>
      <w:r w:rsidRPr="007E5AE9">
        <w:rPr>
          <w:rFonts w:ascii="Arial" w:hAnsi="Arial" w:cs="Arial"/>
          <w:b/>
          <w:bCs/>
          <w:i/>
          <w:iCs/>
        </w:rPr>
        <w:t xml:space="preserve">Observation </w:t>
      </w:r>
      <w:r w:rsidR="00CE221C">
        <w:rPr>
          <w:rFonts w:ascii="Arial" w:hAnsi="Arial" w:cs="Arial"/>
          <w:b/>
          <w:bCs/>
          <w:i/>
          <w:iCs/>
        </w:rPr>
        <w:t>7</w:t>
      </w:r>
      <w:r w:rsidRPr="007E5AE9">
        <w:rPr>
          <w:rFonts w:ascii="Arial" w:hAnsi="Arial" w:cs="Arial"/>
          <w:i/>
          <w:iCs/>
        </w:rPr>
        <w:t xml:space="preserve">: </w:t>
      </w:r>
      <w:r>
        <w:rPr>
          <w:rFonts w:ascii="Arial" w:hAnsi="Arial" w:cs="Arial"/>
          <w:i/>
          <w:iCs/>
        </w:rPr>
        <w:t xml:space="preserve">The -12dB absolute power tolerance </w:t>
      </w:r>
      <w:r w:rsidR="00986DFB">
        <w:rPr>
          <w:rFonts w:ascii="Arial" w:hAnsi="Arial" w:cs="Arial"/>
          <w:i/>
          <w:iCs/>
        </w:rPr>
        <w:t xml:space="preserve">for open loop power control </w:t>
      </w:r>
      <w:r w:rsidR="00FA0FE9">
        <w:rPr>
          <w:rFonts w:ascii="Arial" w:hAnsi="Arial" w:cs="Arial"/>
          <w:i/>
          <w:iCs/>
        </w:rPr>
        <w:t xml:space="preserve">may </w:t>
      </w:r>
      <w:r w:rsidRPr="00DD52B7">
        <w:rPr>
          <w:rFonts w:ascii="Arial" w:hAnsi="Arial" w:cs="Arial"/>
          <w:i/>
          <w:iCs/>
        </w:rPr>
        <w:t>cause UE to be out of UL coverage range</w:t>
      </w:r>
      <w:r>
        <w:rPr>
          <w:rFonts w:ascii="Arial" w:hAnsi="Arial" w:cs="Arial"/>
          <w:i/>
          <w:iCs/>
        </w:rPr>
        <w:t xml:space="preserve"> and prolong the initial access process</w:t>
      </w:r>
      <w:r w:rsidR="00986DFB">
        <w:rPr>
          <w:rFonts w:ascii="Arial" w:hAnsi="Arial" w:cs="Arial"/>
          <w:i/>
          <w:iCs/>
        </w:rPr>
        <w:t>.</w:t>
      </w:r>
      <w:r>
        <w:rPr>
          <w:rFonts w:ascii="Arial" w:hAnsi="Arial" w:cs="Arial"/>
          <w:i/>
          <w:iCs/>
        </w:rPr>
        <w:t xml:space="preserve"> </w:t>
      </w:r>
    </w:p>
    <w:p w14:paraId="77D7182E" w14:textId="77777777" w:rsidR="00F164A5" w:rsidRDefault="00F164A5" w:rsidP="007E5AE9">
      <w:pPr>
        <w:spacing w:after="0"/>
        <w:jc w:val="both"/>
        <w:rPr>
          <w:rFonts w:ascii="Arial" w:hAnsi="Arial" w:cs="Arial"/>
        </w:rPr>
      </w:pPr>
    </w:p>
    <w:p w14:paraId="7AED844E" w14:textId="3F2734E3" w:rsidR="003F15CD" w:rsidRDefault="00DD52B7" w:rsidP="0041733B">
      <w:pPr>
        <w:spacing w:after="120"/>
        <w:jc w:val="both"/>
        <w:rPr>
          <w:rFonts w:ascii="Arial" w:hAnsi="Arial" w:cs="Arial"/>
        </w:rPr>
      </w:pPr>
      <w:r>
        <w:rPr>
          <w:rFonts w:ascii="Arial" w:hAnsi="Arial" w:cs="Arial"/>
        </w:rPr>
        <w:t xml:space="preserve">Based on the above observations, we can </w:t>
      </w:r>
      <w:r w:rsidR="003F15CD">
        <w:rPr>
          <w:rFonts w:ascii="Arial" w:hAnsi="Arial" w:cs="Arial"/>
        </w:rPr>
        <w:t>conclude that for NR operation in 60GHz and above ranges, having UE operating at maximum output power (Pmax) during initial access can provide the advantages</w:t>
      </w:r>
      <w:r w:rsidR="006054D7">
        <w:rPr>
          <w:rFonts w:ascii="Arial" w:hAnsi="Arial" w:cs="Arial"/>
        </w:rPr>
        <w:t xml:space="preserve"> of</w:t>
      </w:r>
    </w:p>
    <w:p w14:paraId="5E78E5D1" w14:textId="1A4C589F" w:rsidR="00DD52B7" w:rsidRDefault="003F15CD" w:rsidP="003F15CD">
      <w:pPr>
        <w:pStyle w:val="ListParagraph"/>
        <w:numPr>
          <w:ilvl w:val="0"/>
          <w:numId w:val="14"/>
        </w:numPr>
        <w:spacing w:after="120"/>
        <w:jc w:val="both"/>
        <w:rPr>
          <w:rFonts w:ascii="Arial" w:hAnsi="Arial" w:cs="Arial"/>
        </w:rPr>
      </w:pPr>
      <w:r>
        <w:rPr>
          <w:rFonts w:ascii="Arial" w:hAnsi="Arial" w:cs="Arial"/>
        </w:rPr>
        <w:t xml:space="preserve">No need for UE to measure DL reference signal RSRP </w:t>
      </w:r>
      <w:r w:rsidR="00A1761C" w:rsidRPr="00A1761C">
        <w:rPr>
          <w:rFonts w:ascii="Arial" w:hAnsi="Arial" w:cs="Arial"/>
        </w:rPr>
        <w:t>and estimate path loss to decide absolute output power</w:t>
      </w:r>
      <w:r w:rsidR="00A1761C">
        <w:rPr>
          <w:rFonts w:ascii="Arial" w:hAnsi="Arial" w:cs="Arial"/>
        </w:rPr>
        <w:t xml:space="preserve"> which in practice is rather inaccurate anyway.</w:t>
      </w:r>
    </w:p>
    <w:p w14:paraId="7DF09916" w14:textId="43FE594B" w:rsidR="00A1761C" w:rsidRDefault="00A1761C" w:rsidP="003F15CD">
      <w:pPr>
        <w:pStyle w:val="ListParagraph"/>
        <w:numPr>
          <w:ilvl w:val="0"/>
          <w:numId w:val="14"/>
        </w:numPr>
        <w:spacing w:after="120"/>
        <w:jc w:val="both"/>
        <w:rPr>
          <w:rFonts w:ascii="Arial" w:hAnsi="Arial" w:cs="Arial"/>
        </w:rPr>
      </w:pPr>
      <w:r w:rsidRPr="00A1761C">
        <w:rPr>
          <w:rFonts w:ascii="Arial" w:hAnsi="Arial" w:cs="Arial"/>
        </w:rPr>
        <w:t xml:space="preserve">Avoid the potential </w:t>
      </w:r>
      <w:r w:rsidR="00A46291">
        <w:rPr>
          <w:rFonts w:ascii="Arial" w:hAnsi="Arial" w:cs="Arial"/>
        </w:rPr>
        <w:t>pro</w:t>
      </w:r>
      <w:r w:rsidRPr="00A1761C">
        <w:rPr>
          <w:rFonts w:ascii="Arial" w:hAnsi="Arial" w:cs="Arial"/>
        </w:rPr>
        <w:t>long</w:t>
      </w:r>
      <w:r w:rsidR="00A46291">
        <w:rPr>
          <w:rFonts w:ascii="Arial" w:hAnsi="Arial" w:cs="Arial"/>
        </w:rPr>
        <w:t>ed</w:t>
      </w:r>
      <w:r w:rsidRPr="00A1761C">
        <w:rPr>
          <w:rFonts w:ascii="Arial" w:hAnsi="Arial" w:cs="Arial"/>
        </w:rPr>
        <w:t xml:space="preserve"> initial access time when UE absolute power is on the lower tolerance side.</w:t>
      </w:r>
    </w:p>
    <w:p w14:paraId="0FB46ABD" w14:textId="229B7B94" w:rsidR="00A46291" w:rsidRPr="003F15CD" w:rsidRDefault="00A46291" w:rsidP="003F15CD">
      <w:pPr>
        <w:pStyle w:val="ListParagraph"/>
        <w:numPr>
          <w:ilvl w:val="0"/>
          <w:numId w:val="14"/>
        </w:numPr>
        <w:spacing w:after="120"/>
        <w:jc w:val="both"/>
        <w:rPr>
          <w:rFonts w:ascii="Arial" w:hAnsi="Arial" w:cs="Arial"/>
        </w:rPr>
      </w:pPr>
      <w:r>
        <w:rPr>
          <w:rFonts w:ascii="Arial" w:hAnsi="Arial" w:cs="Arial"/>
        </w:rPr>
        <w:t>UE absolute power requirement is no longer needed. Pmax during initial access can be verified by the existing spherical EIRP measurements.</w:t>
      </w:r>
    </w:p>
    <w:p w14:paraId="5371C768" w14:textId="5E24AC0C" w:rsidR="00DD52B7" w:rsidRDefault="00DD52B7" w:rsidP="006054D7">
      <w:pPr>
        <w:spacing w:after="0"/>
        <w:jc w:val="both"/>
        <w:rPr>
          <w:rFonts w:ascii="Arial" w:hAnsi="Arial" w:cs="Arial"/>
        </w:rPr>
      </w:pPr>
    </w:p>
    <w:p w14:paraId="3FE9426B" w14:textId="7D5B55E7" w:rsidR="006054D7" w:rsidRPr="00A46291" w:rsidRDefault="006054D7" w:rsidP="0041733B">
      <w:pPr>
        <w:spacing w:after="120"/>
        <w:jc w:val="both"/>
        <w:rPr>
          <w:rFonts w:ascii="Arial" w:hAnsi="Arial" w:cs="Arial"/>
        </w:rPr>
      </w:pPr>
      <w:r>
        <w:rPr>
          <w:rFonts w:ascii="Arial" w:hAnsi="Arial" w:cs="Arial"/>
        </w:rPr>
        <w:t>As the existing FR2 absolute power requirement for open loop power control does not look to be reliable and useful, we propose to simplify the open loop power control by always setting UE at Pmax during the initial access for NR operation at 60GHz and above ran</w:t>
      </w:r>
      <w:r w:rsidR="00301BA3">
        <w:rPr>
          <w:rFonts w:ascii="Arial" w:hAnsi="Arial" w:cs="Arial"/>
        </w:rPr>
        <w:t>ges.</w:t>
      </w:r>
    </w:p>
    <w:p w14:paraId="636E59A1" w14:textId="77777777" w:rsidR="00A46291" w:rsidRPr="006054D7" w:rsidRDefault="00A46291" w:rsidP="006054D7">
      <w:pPr>
        <w:spacing w:after="0"/>
        <w:jc w:val="both"/>
        <w:rPr>
          <w:rFonts w:ascii="Arial" w:hAnsi="Arial" w:cs="Arial"/>
        </w:rPr>
      </w:pPr>
    </w:p>
    <w:p w14:paraId="7C22B731" w14:textId="5DF5E99E" w:rsidR="007E5AE9" w:rsidRPr="007E5AE9" w:rsidRDefault="007E5AE9" w:rsidP="0041733B">
      <w:pPr>
        <w:spacing w:after="120"/>
        <w:jc w:val="both"/>
        <w:rPr>
          <w:rFonts w:ascii="Arial" w:eastAsia="SimSun" w:hAnsi="Arial" w:cs="Arial"/>
          <w:i/>
          <w:iCs/>
          <w:lang w:eastAsia="zh-CN"/>
        </w:rPr>
      </w:pPr>
      <w:r w:rsidRPr="007E5AE9">
        <w:rPr>
          <w:rFonts w:ascii="Arial" w:hAnsi="Arial" w:cs="Arial"/>
          <w:b/>
          <w:bCs/>
          <w:i/>
          <w:iCs/>
        </w:rPr>
        <w:t>Proposal</w:t>
      </w:r>
      <w:r w:rsidR="00491142">
        <w:rPr>
          <w:rFonts w:ascii="Arial" w:hAnsi="Arial" w:cs="Arial"/>
          <w:b/>
          <w:bCs/>
          <w:i/>
          <w:iCs/>
        </w:rPr>
        <w:t xml:space="preserve"> </w:t>
      </w:r>
      <w:r w:rsidR="00E97CE5">
        <w:rPr>
          <w:rFonts w:ascii="Arial" w:hAnsi="Arial" w:cs="Arial"/>
          <w:b/>
          <w:bCs/>
          <w:i/>
          <w:iCs/>
        </w:rPr>
        <w:t>4</w:t>
      </w:r>
      <w:r w:rsidRPr="007E5AE9">
        <w:rPr>
          <w:rFonts w:ascii="Arial" w:hAnsi="Arial" w:cs="Arial"/>
          <w:i/>
          <w:iCs/>
        </w:rPr>
        <w:t xml:space="preserve">: </w:t>
      </w:r>
      <w:r w:rsidR="00301BA3">
        <w:rPr>
          <w:rFonts w:ascii="Arial" w:hAnsi="Arial" w:cs="Arial"/>
          <w:i/>
          <w:iCs/>
        </w:rPr>
        <w:t>For NR operation in 60GHz and above ranges, UE output power is always set at Pmax during the initial access.</w:t>
      </w:r>
    </w:p>
    <w:p w14:paraId="3963EC14" w14:textId="77777777" w:rsidR="009F2B71" w:rsidRPr="0041733B" w:rsidRDefault="009F2B71"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1970DEA6" w14:textId="337B4C91" w:rsidR="00F63DD3" w:rsidRDefault="00301BA3" w:rsidP="00F63DD3">
      <w:pPr>
        <w:spacing w:after="120"/>
        <w:jc w:val="both"/>
        <w:rPr>
          <w:rFonts w:ascii="Arial" w:hAnsi="Arial" w:cs="Arial"/>
        </w:rPr>
      </w:pPr>
      <w:r w:rsidRPr="00301BA3">
        <w:rPr>
          <w:rFonts w:ascii="Arial" w:hAnsi="Arial" w:cs="Arial"/>
        </w:rPr>
        <w:t xml:space="preserve">In this contribution, we </w:t>
      </w:r>
      <w:r w:rsidR="00F63DD3">
        <w:rPr>
          <w:rFonts w:ascii="Arial" w:hAnsi="Arial" w:cs="Arial"/>
        </w:rPr>
        <w:t>have provided a first estimate of the expected output power for the PA and NF for the LNA considering the challenges to support the wideband 60 GHz operation. We have also shared our initial view related transient requirements and an analysis on the open loop power control. In summary, we have made the following observations and proposals.</w:t>
      </w:r>
    </w:p>
    <w:p w14:paraId="1A1A36B6" w14:textId="77777777" w:rsidR="00F63DD3" w:rsidRDefault="00F63DD3" w:rsidP="00F63DD3">
      <w:pPr>
        <w:spacing w:after="0"/>
        <w:jc w:val="both"/>
        <w:rPr>
          <w:rFonts w:ascii="Arial" w:hAnsi="Arial" w:cs="Arial"/>
        </w:rPr>
      </w:pPr>
    </w:p>
    <w:p w14:paraId="3A0BD9AC" w14:textId="62559AD9" w:rsidR="00F63DD3" w:rsidRDefault="00F63DD3" w:rsidP="00F63DD3">
      <w:pPr>
        <w:rPr>
          <w:rFonts w:ascii="Arial" w:hAnsi="Arial" w:cs="Arial"/>
          <w:i/>
          <w:iCs/>
          <w:lang w:val="en-US"/>
        </w:rPr>
      </w:pPr>
      <w:r w:rsidRPr="007E5AE9">
        <w:rPr>
          <w:rFonts w:ascii="Arial" w:hAnsi="Arial" w:cs="Arial"/>
          <w:b/>
          <w:bCs/>
          <w:i/>
          <w:iCs/>
        </w:rPr>
        <w:t xml:space="preserve">Observation </w:t>
      </w:r>
      <w:r>
        <w:rPr>
          <w:rFonts w:ascii="Arial" w:hAnsi="Arial" w:cs="Arial"/>
          <w:b/>
          <w:bCs/>
          <w:i/>
          <w:iCs/>
        </w:rPr>
        <w:t>1</w:t>
      </w:r>
      <w:r w:rsidRPr="007E5AE9">
        <w:rPr>
          <w:rFonts w:ascii="Arial" w:hAnsi="Arial" w:cs="Arial"/>
          <w:i/>
          <w:iCs/>
        </w:rPr>
        <w:t xml:space="preserve">: </w:t>
      </w:r>
      <w:r w:rsidRPr="0042112A">
        <w:rPr>
          <w:rFonts w:ascii="Arial" w:hAnsi="Arial" w:cs="Arial"/>
          <w:i/>
          <w:iCs/>
          <w:lang w:val="en-US"/>
        </w:rPr>
        <w:t xml:space="preserve">The worse linearity of the PA will require a significant power back-off. </w:t>
      </w:r>
      <w:r>
        <w:rPr>
          <w:rFonts w:ascii="Arial" w:hAnsi="Arial" w:cs="Arial"/>
          <w:i/>
          <w:iCs/>
          <w:lang w:val="en-US"/>
        </w:rPr>
        <w:t>We</w:t>
      </w:r>
      <w:r w:rsidRPr="0042112A">
        <w:rPr>
          <w:rFonts w:ascii="Arial" w:hAnsi="Arial" w:cs="Arial"/>
          <w:i/>
          <w:iCs/>
          <w:lang w:val="en-US"/>
        </w:rPr>
        <w:t xml:space="preserve"> expect a power degradation between </w:t>
      </w:r>
      <w:r>
        <w:rPr>
          <w:rFonts w:ascii="Arial" w:hAnsi="Arial" w:cs="Arial"/>
          <w:i/>
          <w:iCs/>
          <w:lang w:val="en-US"/>
        </w:rPr>
        <w:t>4</w:t>
      </w:r>
      <w:r w:rsidRPr="0042112A">
        <w:rPr>
          <w:rFonts w:ascii="Arial" w:hAnsi="Arial" w:cs="Arial"/>
          <w:i/>
          <w:iCs/>
          <w:lang w:val="en-US"/>
        </w:rPr>
        <w:t xml:space="preserve">.5 and </w:t>
      </w:r>
      <w:r>
        <w:rPr>
          <w:rFonts w:ascii="Arial" w:hAnsi="Arial" w:cs="Arial"/>
          <w:i/>
          <w:iCs/>
          <w:lang w:val="en-US"/>
        </w:rPr>
        <w:t>5</w:t>
      </w:r>
      <w:r w:rsidRPr="0042112A">
        <w:rPr>
          <w:rFonts w:ascii="Arial" w:hAnsi="Arial" w:cs="Arial"/>
          <w:i/>
          <w:iCs/>
          <w:lang w:val="en-US"/>
        </w:rPr>
        <w:t>.5 dB compared to band n262</w:t>
      </w:r>
      <w:r>
        <w:rPr>
          <w:rFonts w:ascii="Arial" w:hAnsi="Arial" w:cs="Arial"/>
          <w:i/>
          <w:iCs/>
          <w:lang w:val="en-US"/>
        </w:rPr>
        <w:t>.</w:t>
      </w:r>
    </w:p>
    <w:p w14:paraId="0826BE00" w14:textId="77777777" w:rsidR="00F63DD3" w:rsidRPr="007B5B39" w:rsidRDefault="00F63DD3" w:rsidP="00F63DD3">
      <w:pPr>
        <w:rPr>
          <w:rFonts w:ascii="Arial" w:hAnsi="Arial" w:cs="Arial"/>
          <w:b/>
          <w:bCs/>
          <w:i/>
          <w:iCs/>
        </w:rPr>
      </w:pPr>
      <w:r w:rsidRPr="007E5AE9">
        <w:rPr>
          <w:rFonts w:ascii="Arial" w:hAnsi="Arial" w:cs="Arial"/>
          <w:b/>
          <w:bCs/>
          <w:i/>
          <w:iCs/>
        </w:rPr>
        <w:t xml:space="preserve">Observation </w:t>
      </w:r>
      <w:r>
        <w:rPr>
          <w:rFonts w:ascii="Arial" w:hAnsi="Arial" w:cs="Arial"/>
          <w:b/>
          <w:bCs/>
          <w:i/>
          <w:iCs/>
        </w:rPr>
        <w:t>2</w:t>
      </w:r>
      <w:r w:rsidRPr="007B5B39">
        <w:rPr>
          <w:rFonts w:ascii="Arial" w:hAnsi="Arial" w:cs="Arial"/>
          <w:b/>
          <w:bCs/>
          <w:i/>
          <w:iCs/>
        </w:rPr>
        <w:t xml:space="preserve">: </w:t>
      </w:r>
      <w:r w:rsidRPr="007B5B39">
        <w:rPr>
          <w:rFonts w:ascii="Arial" w:hAnsi="Arial" w:cs="Arial"/>
          <w:i/>
          <w:iCs/>
        </w:rPr>
        <w:t>LNAs suffer from low gain and high noise due to the transistors operating closer to their cut</w:t>
      </w:r>
      <w:r>
        <w:rPr>
          <w:rFonts w:ascii="Arial" w:hAnsi="Arial" w:cs="Arial"/>
          <w:i/>
          <w:iCs/>
        </w:rPr>
        <w:t>-</w:t>
      </w:r>
      <w:r w:rsidRPr="007B5B39">
        <w:rPr>
          <w:rFonts w:ascii="Arial" w:hAnsi="Arial" w:cs="Arial"/>
          <w:i/>
          <w:iCs/>
        </w:rPr>
        <w:t>off frequencies. From this extrapolation the NF degradation is between 3.5 and 4.5 dB compared to band</w:t>
      </w:r>
      <w:r>
        <w:rPr>
          <w:rFonts w:ascii="Arial" w:hAnsi="Arial" w:cs="Arial"/>
          <w:i/>
          <w:iCs/>
        </w:rPr>
        <w:t xml:space="preserve"> n262.</w:t>
      </w:r>
    </w:p>
    <w:p w14:paraId="13D15110" w14:textId="030ADC88" w:rsidR="00F63DD3" w:rsidRDefault="00F63DD3" w:rsidP="00F63DD3">
      <w:pPr>
        <w:spacing w:after="120"/>
        <w:jc w:val="both"/>
        <w:rPr>
          <w:rFonts w:ascii="Arial" w:hAnsi="Arial" w:cs="Arial"/>
          <w:i/>
          <w:iCs/>
        </w:rPr>
      </w:pPr>
      <w:r w:rsidRPr="007E5AE9">
        <w:rPr>
          <w:rFonts w:ascii="Arial" w:hAnsi="Arial" w:cs="Arial"/>
          <w:b/>
          <w:bCs/>
          <w:i/>
          <w:iCs/>
        </w:rPr>
        <w:t xml:space="preserve">Observation </w:t>
      </w:r>
      <w:r>
        <w:rPr>
          <w:rFonts w:ascii="Arial" w:hAnsi="Arial" w:cs="Arial"/>
          <w:b/>
          <w:bCs/>
          <w:i/>
          <w:iCs/>
        </w:rPr>
        <w:t>3</w:t>
      </w:r>
      <w:r w:rsidRPr="007E5AE9">
        <w:rPr>
          <w:rFonts w:ascii="Arial" w:hAnsi="Arial" w:cs="Arial"/>
          <w:i/>
          <w:iCs/>
        </w:rPr>
        <w:t xml:space="preserve">: </w:t>
      </w:r>
      <w:r w:rsidRPr="0081106E">
        <w:rPr>
          <w:rFonts w:ascii="Arial" w:hAnsi="Arial" w:cs="Arial"/>
          <w:i/>
          <w:iCs/>
        </w:rPr>
        <w:t>In terms of RF hardware control timelines, leveraging of FR2 based implementations implies</w:t>
      </w:r>
      <w:r>
        <w:rPr>
          <w:rFonts w:ascii="Arial" w:hAnsi="Arial" w:cs="Arial"/>
          <w:i/>
          <w:iCs/>
        </w:rPr>
        <w:t xml:space="preserve"> reusing FR2 requirements on switching between DL and UL as well as Tx/Rx beam switching delays.</w:t>
      </w:r>
    </w:p>
    <w:p w14:paraId="52BAF711" w14:textId="7EE4FFA4" w:rsidR="00CE221C" w:rsidRPr="00CE221C" w:rsidRDefault="00CE221C" w:rsidP="00F63DD3">
      <w:pPr>
        <w:spacing w:after="120"/>
        <w:jc w:val="both"/>
        <w:rPr>
          <w:rFonts w:ascii="Arial" w:hAnsi="Arial" w:cs="Arial"/>
        </w:rPr>
      </w:pPr>
      <w:r w:rsidRPr="007E5AE9">
        <w:rPr>
          <w:rFonts w:ascii="Arial" w:hAnsi="Arial" w:cs="Arial"/>
          <w:b/>
          <w:bCs/>
          <w:i/>
          <w:iCs/>
        </w:rPr>
        <w:t xml:space="preserve">Observation </w:t>
      </w:r>
      <w:r>
        <w:rPr>
          <w:rFonts w:ascii="Arial" w:hAnsi="Arial" w:cs="Arial"/>
          <w:b/>
          <w:bCs/>
          <w:i/>
          <w:iCs/>
        </w:rPr>
        <w:t>4</w:t>
      </w:r>
      <w:r w:rsidRPr="007E5AE9">
        <w:rPr>
          <w:rFonts w:ascii="Arial" w:hAnsi="Arial" w:cs="Arial"/>
          <w:i/>
          <w:iCs/>
        </w:rPr>
        <w:t xml:space="preserve">: </w:t>
      </w:r>
      <w:r>
        <w:rPr>
          <w:rFonts w:ascii="Arial" w:hAnsi="Arial" w:cs="Arial"/>
          <w:i/>
          <w:iCs/>
        </w:rPr>
        <w:t xml:space="preserve">When defining transient requirements, such as Tx-Rx transition time and other transient periods, </w:t>
      </w:r>
      <w:r w:rsidRPr="00AD1449">
        <w:rPr>
          <w:rFonts w:ascii="Arial" w:hAnsi="Arial" w:cs="Arial"/>
          <w:i/>
          <w:iCs/>
        </w:rPr>
        <w:t>RAN4 should be aware of the device type and traffic pattern assumptions</w:t>
      </w:r>
      <w:r>
        <w:rPr>
          <w:rFonts w:ascii="Arial" w:hAnsi="Arial" w:cs="Arial"/>
          <w:i/>
          <w:iCs/>
        </w:rPr>
        <w:t>.</w:t>
      </w:r>
    </w:p>
    <w:p w14:paraId="67C844FB" w14:textId="7FBDBC4C" w:rsidR="00F63DD3" w:rsidRDefault="00F63DD3" w:rsidP="00F63DD3">
      <w:pPr>
        <w:spacing w:after="120"/>
        <w:jc w:val="both"/>
        <w:rPr>
          <w:rFonts w:ascii="Arial" w:hAnsi="Arial" w:cs="Arial"/>
          <w:i/>
          <w:iCs/>
        </w:rPr>
      </w:pPr>
      <w:r w:rsidRPr="007E5AE9">
        <w:rPr>
          <w:rFonts w:ascii="Arial" w:hAnsi="Arial" w:cs="Arial"/>
          <w:b/>
          <w:bCs/>
          <w:i/>
          <w:iCs/>
        </w:rPr>
        <w:lastRenderedPageBreak/>
        <w:t xml:space="preserve">Observation </w:t>
      </w:r>
      <w:r w:rsidR="00CE221C">
        <w:rPr>
          <w:rFonts w:ascii="Arial" w:hAnsi="Arial" w:cs="Arial"/>
          <w:b/>
          <w:bCs/>
          <w:i/>
          <w:iCs/>
        </w:rPr>
        <w:t>5</w:t>
      </w:r>
      <w:r w:rsidRPr="007E5AE9">
        <w:rPr>
          <w:rFonts w:ascii="Arial" w:hAnsi="Arial" w:cs="Arial"/>
          <w:i/>
          <w:iCs/>
        </w:rPr>
        <w:t>: UE at 60</w:t>
      </w:r>
      <w:r>
        <w:rPr>
          <w:rFonts w:ascii="Arial" w:hAnsi="Arial" w:cs="Arial"/>
          <w:i/>
          <w:iCs/>
        </w:rPr>
        <w:t xml:space="preserve"> </w:t>
      </w:r>
      <w:r w:rsidRPr="007E5AE9">
        <w:rPr>
          <w:rFonts w:ascii="Arial" w:hAnsi="Arial" w:cs="Arial"/>
          <w:i/>
          <w:iCs/>
        </w:rPr>
        <w:t>GHz and above ranges may always operate at P</w:t>
      </w:r>
      <w:r w:rsidRPr="007E5AE9">
        <w:rPr>
          <w:rFonts w:ascii="Arial" w:hAnsi="Arial" w:cs="Arial"/>
          <w:i/>
          <w:iCs/>
          <w:vertAlign w:val="subscript"/>
        </w:rPr>
        <w:t>CMAX</w:t>
      </w:r>
      <w:r w:rsidRPr="007E5AE9">
        <w:rPr>
          <w:rFonts w:ascii="Arial" w:hAnsi="Arial" w:cs="Arial"/>
          <w:i/>
          <w:iCs/>
        </w:rPr>
        <w:t xml:space="preserve"> in order to achieve the desired SNR at gNB receiver.</w:t>
      </w:r>
    </w:p>
    <w:p w14:paraId="1AA66741" w14:textId="357BB084" w:rsidR="00F63DD3" w:rsidRPr="00F63DD3" w:rsidRDefault="00F63DD3" w:rsidP="00F63DD3">
      <w:pPr>
        <w:spacing w:after="120"/>
        <w:jc w:val="both"/>
        <w:rPr>
          <w:rFonts w:ascii="Arial" w:hAnsi="Arial" w:cs="Arial"/>
          <w:i/>
          <w:iCs/>
        </w:rPr>
      </w:pPr>
      <w:r w:rsidRPr="007E5AE9">
        <w:rPr>
          <w:rFonts w:ascii="Arial" w:hAnsi="Arial" w:cs="Arial"/>
          <w:b/>
          <w:bCs/>
          <w:i/>
          <w:iCs/>
        </w:rPr>
        <w:t xml:space="preserve">Observation </w:t>
      </w:r>
      <w:r w:rsidR="00CE221C">
        <w:rPr>
          <w:rFonts w:ascii="Arial" w:hAnsi="Arial" w:cs="Arial"/>
          <w:b/>
          <w:bCs/>
          <w:i/>
          <w:iCs/>
        </w:rPr>
        <w:t>6</w:t>
      </w:r>
      <w:r w:rsidRPr="007E5AE9">
        <w:rPr>
          <w:rFonts w:ascii="Arial" w:hAnsi="Arial" w:cs="Arial"/>
          <w:i/>
          <w:iCs/>
        </w:rPr>
        <w:t xml:space="preserve">: </w:t>
      </w:r>
      <w:r>
        <w:rPr>
          <w:rFonts w:ascii="Arial" w:hAnsi="Arial" w:cs="Arial"/>
          <w:i/>
          <w:iCs/>
        </w:rPr>
        <w:t>The +12dB absolute power tolerance for open loop power control would imply that UE will be operating at P</w:t>
      </w:r>
      <w:r w:rsidRPr="00BF6A1B">
        <w:rPr>
          <w:rFonts w:ascii="Arial" w:hAnsi="Arial" w:cs="Arial"/>
          <w:i/>
          <w:iCs/>
          <w:vertAlign w:val="subscript"/>
        </w:rPr>
        <w:t>CMAX</w:t>
      </w:r>
      <w:r>
        <w:rPr>
          <w:rFonts w:ascii="Arial" w:hAnsi="Arial" w:cs="Arial"/>
          <w:i/>
          <w:iCs/>
        </w:rPr>
        <w:t>.</w:t>
      </w:r>
    </w:p>
    <w:p w14:paraId="58B9B7AD" w14:textId="69DCAE3D" w:rsidR="00F63DD3" w:rsidRPr="00F63DD3" w:rsidRDefault="00F63DD3" w:rsidP="00F63DD3">
      <w:pPr>
        <w:spacing w:after="120"/>
        <w:jc w:val="both"/>
        <w:rPr>
          <w:rFonts w:ascii="Arial" w:hAnsi="Arial" w:cs="Arial"/>
        </w:rPr>
      </w:pPr>
      <w:r w:rsidRPr="007E5AE9">
        <w:rPr>
          <w:rFonts w:ascii="Arial" w:hAnsi="Arial" w:cs="Arial"/>
          <w:b/>
          <w:bCs/>
          <w:i/>
          <w:iCs/>
        </w:rPr>
        <w:t xml:space="preserve">Observation </w:t>
      </w:r>
      <w:r w:rsidR="00CE221C">
        <w:rPr>
          <w:rFonts w:ascii="Arial" w:hAnsi="Arial" w:cs="Arial"/>
          <w:b/>
          <w:bCs/>
          <w:i/>
          <w:iCs/>
        </w:rPr>
        <w:t>7</w:t>
      </w:r>
      <w:r w:rsidRPr="007E5AE9">
        <w:rPr>
          <w:rFonts w:ascii="Arial" w:hAnsi="Arial" w:cs="Arial"/>
          <w:i/>
          <w:iCs/>
        </w:rPr>
        <w:t xml:space="preserve">: </w:t>
      </w:r>
      <w:r>
        <w:rPr>
          <w:rFonts w:ascii="Arial" w:hAnsi="Arial" w:cs="Arial"/>
          <w:i/>
          <w:iCs/>
        </w:rPr>
        <w:t xml:space="preserve">The -12dB absolute power tolerance for open loop power control may </w:t>
      </w:r>
      <w:r w:rsidRPr="00DD52B7">
        <w:rPr>
          <w:rFonts w:ascii="Arial" w:hAnsi="Arial" w:cs="Arial"/>
          <w:i/>
          <w:iCs/>
        </w:rPr>
        <w:t>cause UE to be out of UL coverage range</w:t>
      </w:r>
      <w:r>
        <w:rPr>
          <w:rFonts w:ascii="Arial" w:hAnsi="Arial" w:cs="Arial"/>
          <w:i/>
          <w:iCs/>
        </w:rPr>
        <w:t xml:space="preserve"> and prolong the initial access process. </w:t>
      </w:r>
    </w:p>
    <w:p w14:paraId="03B35832" w14:textId="25822DAB" w:rsidR="00F63DD3" w:rsidRPr="00F63DD3" w:rsidRDefault="00F63DD3" w:rsidP="00F63DD3">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1</w:t>
      </w:r>
      <w:r w:rsidRPr="007E5AE9">
        <w:rPr>
          <w:rFonts w:ascii="Arial" w:hAnsi="Arial" w:cs="Arial"/>
          <w:i/>
          <w:iCs/>
        </w:rPr>
        <w:t xml:space="preserve">: </w:t>
      </w:r>
      <w:r>
        <w:rPr>
          <w:rFonts w:ascii="Arial" w:hAnsi="Arial" w:cs="Arial"/>
          <w:i/>
          <w:iCs/>
        </w:rPr>
        <w:t xml:space="preserve">For NR operation in the 52.6 – 71 GHz range, the Rx-Tx and Tx-Rx transition time shall reuse the FR2 value of </w:t>
      </w:r>
      <w:r w:rsidRPr="00745842">
        <w:rPr>
          <w:rFonts w:ascii="Arial" w:hAnsi="Arial" w:cs="Arial"/>
          <w:i/>
          <w:iCs/>
        </w:rPr>
        <w:t>13792 Tc</w:t>
      </w:r>
      <w:r>
        <w:rPr>
          <w:rFonts w:ascii="Arial" w:hAnsi="Arial" w:cs="Arial"/>
          <w:i/>
          <w:iCs/>
        </w:rPr>
        <w:t>.</w:t>
      </w:r>
    </w:p>
    <w:p w14:paraId="40875619" w14:textId="0E1EB465" w:rsidR="00F63DD3" w:rsidRPr="00F63DD3" w:rsidRDefault="00F63DD3" w:rsidP="00F63DD3">
      <w:pPr>
        <w:spacing w:after="120"/>
        <w:jc w:val="both"/>
        <w:rPr>
          <w:rFonts w:ascii="Arial" w:hAnsi="Arial" w:cs="Arial"/>
          <w:b/>
          <w:bCs/>
          <w:i/>
          <w:iCs/>
        </w:rPr>
      </w:pPr>
      <w:r w:rsidRPr="007E5AE9">
        <w:rPr>
          <w:rFonts w:ascii="Arial" w:hAnsi="Arial" w:cs="Arial"/>
          <w:b/>
          <w:bCs/>
          <w:i/>
          <w:iCs/>
        </w:rPr>
        <w:t>Proposal</w:t>
      </w:r>
      <w:r>
        <w:rPr>
          <w:rFonts w:ascii="Arial" w:hAnsi="Arial" w:cs="Arial"/>
          <w:b/>
          <w:bCs/>
          <w:i/>
          <w:iCs/>
        </w:rPr>
        <w:t xml:space="preserve"> 2</w:t>
      </w:r>
      <w:r w:rsidRPr="007E5AE9">
        <w:rPr>
          <w:rFonts w:ascii="Arial" w:hAnsi="Arial" w:cs="Arial"/>
          <w:i/>
          <w:iCs/>
        </w:rPr>
        <w:t xml:space="preserve">: </w:t>
      </w:r>
      <w:r>
        <w:rPr>
          <w:rFonts w:ascii="Arial" w:hAnsi="Arial" w:cs="Arial"/>
          <w:i/>
          <w:iCs/>
        </w:rPr>
        <w:t>For NR operation in the 52.6 – 71 GHz range, the Tx and Rx beam switch delay shall reuse the FR2 assumption.</w:t>
      </w:r>
    </w:p>
    <w:p w14:paraId="22FED6C6" w14:textId="77777777" w:rsidR="00F63DD3" w:rsidRPr="007E5AE9" w:rsidRDefault="00F63DD3" w:rsidP="00F63DD3">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3</w:t>
      </w:r>
      <w:r w:rsidRPr="007E5AE9">
        <w:rPr>
          <w:rFonts w:ascii="Arial" w:hAnsi="Arial" w:cs="Arial"/>
          <w:i/>
          <w:iCs/>
        </w:rPr>
        <w:t xml:space="preserve">: </w:t>
      </w:r>
      <w:r>
        <w:rPr>
          <w:rFonts w:ascii="Arial" w:hAnsi="Arial" w:cs="Arial"/>
          <w:i/>
          <w:iCs/>
        </w:rPr>
        <w:t>RAN4 should inform RAN1 that as a baseline the FR2 assumptions on Tx beam switching time, Rx beam switching time, Rx-Tx transition time, and Tx-Rx transition time shall be reused for NR operating in the 52.6 – 71 GHz frequency range. RAN4 should further ask RAN1 whether from the physical layer design perspective it is feasible to support an optionally shorter Rx-Tx/Tx-Rx transition time.</w:t>
      </w:r>
    </w:p>
    <w:p w14:paraId="0922691A" w14:textId="13364D99" w:rsidR="00F63DD3" w:rsidRPr="00F63DD3" w:rsidRDefault="00F63DD3" w:rsidP="00F63DD3">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4</w:t>
      </w:r>
      <w:r w:rsidRPr="007E5AE9">
        <w:rPr>
          <w:rFonts w:ascii="Arial" w:hAnsi="Arial" w:cs="Arial"/>
          <w:i/>
          <w:iCs/>
        </w:rPr>
        <w:t xml:space="preserve">: </w:t>
      </w:r>
      <w:r>
        <w:rPr>
          <w:rFonts w:ascii="Arial" w:hAnsi="Arial" w:cs="Arial"/>
          <w:i/>
          <w:iCs/>
        </w:rPr>
        <w:t>For NR operation in 60GHz and above ranges, UE output power is always set at Pmax during the initial access.</w:t>
      </w:r>
    </w:p>
    <w:p w14:paraId="60E84DB0" w14:textId="77777777" w:rsidR="008140D1" w:rsidRPr="00F63DD3" w:rsidRDefault="008140D1" w:rsidP="00886D52">
      <w:pPr>
        <w:spacing w:after="0"/>
        <w:jc w:val="both"/>
        <w:rPr>
          <w:rFonts w:ascii="Arial" w:hAnsi="Arial" w:cs="Arial"/>
          <w:lang w:val="en-US"/>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p w14:paraId="67C2CA75" w14:textId="6A995653" w:rsidR="008F626A" w:rsidRDefault="008F626A" w:rsidP="008F626A">
      <w:pPr>
        <w:pStyle w:val="EX"/>
        <w:jc w:val="both"/>
        <w:rPr>
          <w:rFonts w:ascii="Arial" w:hAnsi="Arial" w:cs="Arial"/>
        </w:rPr>
      </w:pPr>
      <w:bookmarkStart w:id="1" w:name="_Ref68207325"/>
      <w:bookmarkEnd w:id="0"/>
      <w:r>
        <w:rPr>
          <w:rFonts w:ascii="Arial" w:hAnsi="Arial" w:cs="Arial"/>
        </w:rPr>
        <w:t>RP-202925 “Revised WID: Extending current NR operation to 71 GHz”, CMCC, 3GPP TSG-RAN Meeting #90-e, December 7</w:t>
      </w:r>
      <w:r w:rsidRPr="008F626A">
        <w:rPr>
          <w:rFonts w:ascii="Arial" w:hAnsi="Arial" w:cs="Arial"/>
          <w:vertAlign w:val="superscript"/>
        </w:rPr>
        <w:t>th</w:t>
      </w:r>
      <w:r>
        <w:rPr>
          <w:rFonts w:ascii="Arial" w:hAnsi="Arial" w:cs="Arial"/>
        </w:rPr>
        <w:t xml:space="preserve"> – 11</w:t>
      </w:r>
      <w:r w:rsidRPr="008F626A">
        <w:rPr>
          <w:rFonts w:ascii="Arial" w:hAnsi="Arial" w:cs="Arial"/>
          <w:vertAlign w:val="superscript"/>
        </w:rPr>
        <w:t>th</w:t>
      </w:r>
      <w:r>
        <w:rPr>
          <w:rFonts w:ascii="Arial" w:hAnsi="Arial" w:cs="Arial"/>
        </w:rPr>
        <w:t>, 2020</w:t>
      </w:r>
      <w:bookmarkEnd w:id="1"/>
    </w:p>
    <w:p w14:paraId="17919B1A" w14:textId="65D614D9" w:rsidR="008F626A" w:rsidRDefault="00FA0FE9" w:rsidP="008F626A">
      <w:pPr>
        <w:pStyle w:val="EX"/>
        <w:jc w:val="both"/>
        <w:rPr>
          <w:rFonts w:ascii="Arial" w:hAnsi="Arial" w:cs="Arial"/>
        </w:rPr>
      </w:pPr>
      <w:r>
        <w:rPr>
          <w:rFonts w:ascii="Arial" w:hAnsi="Arial" w:cs="Arial"/>
        </w:rPr>
        <w:t>R4-</w:t>
      </w:r>
      <w:r w:rsidR="00DF0098">
        <w:rPr>
          <w:rFonts w:ascii="Arial" w:hAnsi="Arial" w:cs="Arial"/>
        </w:rPr>
        <w:t>2102609 “</w:t>
      </w:r>
      <w:r w:rsidR="00DF0098" w:rsidRPr="00DF0098">
        <w:rPr>
          <w:rFonts w:ascii="Arial" w:hAnsi="Arial" w:cs="Arial"/>
        </w:rPr>
        <w:t>Views on UL TPC for NR in 60 GHz and above frequency ranges</w:t>
      </w:r>
      <w:r w:rsidR="00DF0098">
        <w:rPr>
          <w:rFonts w:ascii="Arial" w:hAnsi="Arial" w:cs="Arial"/>
        </w:rPr>
        <w:t>”, Apple Inc., 3GPP TSG-RAN WG4 Meeting #98-e, January 25</w:t>
      </w:r>
      <w:r w:rsidR="00DF0098" w:rsidRPr="00DF0098">
        <w:rPr>
          <w:rFonts w:ascii="Arial" w:hAnsi="Arial" w:cs="Arial"/>
          <w:vertAlign w:val="superscript"/>
        </w:rPr>
        <w:t>th</w:t>
      </w:r>
      <w:r w:rsidR="00DF0098">
        <w:rPr>
          <w:rFonts w:ascii="Arial" w:hAnsi="Arial" w:cs="Arial"/>
        </w:rPr>
        <w:t xml:space="preserve"> – February 05</w:t>
      </w:r>
      <w:r w:rsidR="00DF0098" w:rsidRPr="00DF0098">
        <w:rPr>
          <w:rFonts w:ascii="Arial" w:hAnsi="Arial" w:cs="Arial"/>
          <w:vertAlign w:val="superscript"/>
        </w:rPr>
        <w:t>th</w:t>
      </w:r>
      <w:r w:rsidR="00DF0098">
        <w:rPr>
          <w:rFonts w:ascii="Arial" w:hAnsi="Arial" w:cs="Arial"/>
        </w:rPr>
        <w:t>, 2021</w:t>
      </w:r>
    </w:p>
    <w:p w14:paraId="60EAAE22" w14:textId="28650383" w:rsidR="008D10CA" w:rsidRPr="0041733B" w:rsidRDefault="008D10CA" w:rsidP="008F626A">
      <w:pPr>
        <w:pStyle w:val="EX"/>
        <w:jc w:val="both"/>
        <w:rPr>
          <w:rFonts w:ascii="Arial" w:hAnsi="Arial" w:cs="Arial"/>
        </w:rPr>
      </w:pPr>
      <w:bookmarkStart w:id="2" w:name="_Ref68207928"/>
      <w:r w:rsidRPr="008D10CA">
        <w:rPr>
          <w:rFonts w:ascii="Arial" w:hAnsi="Arial" w:cs="Arial"/>
        </w:rPr>
        <w:t>R4-2104451</w:t>
      </w:r>
      <w:r>
        <w:rPr>
          <w:rFonts w:ascii="Arial" w:hAnsi="Arial" w:cs="Arial"/>
        </w:rPr>
        <w:t>/</w:t>
      </w:r>
      <w:r w:rsidRPr="008D10CA">
        <w:rPr>
          <w:rFonts w:ascii="Arial" w:hAnsi="Arial" w:cs="Arial"/>
        </w:rPr>
        <w:t>R1-2102202</w:t>
      </w:r>
      <w:r>
        <w:rPr>
          <w:rFonts w:ascii="Arial" w:hAnsi="Arial" w:cs="Arial"/>
        </w:rPr>
        <w:t>, “</w:t>
      </w:r>
      <w:r w:rsidRPr="008D10CA">
        <w:rPr>
          <w:rFonts w:ascii="Arial" w:hAnsi="Arial" w:cs="Arial"/>
        </w:rPr>
        <w:t>LS on beam switching gap for 60 GHz band</w:t>
      </w:r>
      <w:r>
        <w:rPr>
          <w:rFonts w:ascii="Arial" w:hAnsi="Arial" w:cs="Arial"/>
        </w:rPr>
        <w:t xml:space="preserve">,” 3GPP RAN1 #104e, </w:t>
      </w:r>
      <w:r w:rsidR="00E40F69">
        <w:rPr>
          <w:rFonts w:ascii="Arial" w:hAnsi="Arial" w:cs="Arial"/>
        </w:rPr>
        <w:t>Feb</w:t>
      </w:r>
      <w:r w:rsidR="00A60A95">
        <w:rPr>
          <w:rFonts w:ascii="Arial" w:hAnsi="Arial" w:cs="Arial"/>
        </w:rPr>
        <w:t>r</w:t>
      </w:r>
      <w:r w:rsidR="00E40F69">
        <w:rPr>
          <w:rFonts w:ascii="Arial" w:hAnsi="Arial" w:cs="Arial"/>
        </w:rPr>
        <w:t>uary 2021</w:t>
      </w:r>
      <w:bookmarkEnd w:id="2"/>
    </w:p>
    <w:sectPr w:rsidR="008D10CA" w:rsidRPr="0041733B"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D162D" w14:textId="77777777" w:rsidR="00F0055E" w:rsidRDefault="00F0055E">
      <w:r>
        <w:separator/>
      </w:r>
    </w:p>
  </w:endnote>
  <w:endnote w:type="continuationSeparator" w:id="0">
    <w:p w14:paraId="6BEA74B1" w14:textId="77777777" w:rsidR="00F0055E" w:rsidRDefault="00F0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71719" w14:textId="77777777" w:rsidR="00F0055E" w:rsidRDefault="00F0055E">
      <w:r>
        <w:separator/>
      </w:r>
    </w:p>
  </w:footnote>
  <w:footnote w:type="continuationSeparator" w:id="0">
    <w:p w14:paraId="47827966" w14:textId="77777777" w:rsidR="00F0055E" w:rsidRDefault="00F00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3"/>
  </w:num>
  <w:num w:numId="9">
    <w:abstractNumId w:val="8"/>
  </w:num>
  <w:num w:numId="10">
    <w:abstractNumId w:val="4"/>
  </w:num>
  <w:num w:numId="11">
    <w:abstractNumId w:val="5"/>
  </w:num>
  <w:num w:numId="12">
    <w:abstractNumId w:val="12"/>
  </w:num>
  <w:num w:numId="13">
    <w:abstractNumId w:val="6"/>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20879"/>
    <w:rsid w:val="00033397"/>
    <w:rsid w:val="00040095"/>
    <w:rsid w:val="00051834"/>
    <w:rsid w:val="00054529"/>
    <w:rsid w:val="00054A22"/>
    <w:rsid w:val="00062023"/>
    <w:rsid w:val="000655A6"/>
    <w:rsid w:val="0006704A"/>
    <w:rsid w:val="0007193A"/>
    <w:rsid w:val="00080512"/>
    <w:rsid w:val="000909FE"/>
    <w:rsid w:val="00092E3F"/>
    <w:rsid w:val="000A0C3B"/>
    <w:rsid w:val="000A365D"/>
    <w:rsid w:val="000A68F3"/>
    <w:rsid w:val="000B61FB"/>
    <w:rsid w:val="000C47C3"/>
    <w:rsid w:val="000D58AB"/>
    <w:rsid w:val="000E1A37"/>
    <w:rsid w:val="000E3D6F"/>
    <w:rsid w:val="000E5C81"/>
    <w:rsid w:val="00104BC6"/>
    <w:rsid w:val="00112CAE"/>
    <w:rsid w:val="00114E2C"/>
    <w:rsid w:val="00121103"/>
    <w:rsid w:val="00133525"/>
    <w:rsid w:val="00157E2B"/>
    <w:rsid w:val="0016611C"/>
    <w:rsid w:val="00166B5C"/>
    <w:rsid w:val="00176F50"/>
    <w:rsid w:val="00181118"/>
    <w:rsid w:val="001841B1"/>
    <w:rsid w:val="001848CA"/>
    <w:rsid w:val="001A410D"/>
    <w:rsid w:val="001A4C42"/>
    <w:rsid w:val="001C21C3"/>
    <w:rsid w:val="001D02C2"/>
    <w:rsid w:val="001D1470"/>
    <w:rsid w:val="001F0C1D"/>
    <w:rsid w:val="001F1132"/>
    <w:rsid w:val="001F168B"/>
    <w:rsid w:val="00204648"/>
    <w:rsid w:val="002242B0"/>
    <w:rsid w:val="002347A2"/>
    <w:rsid w:val="002450A4"/>
    <w:rsid w:val="00247926"/>
    <w:rsid w:val="00253E22"/>
    <w:rsid w:val="00261B7C"/>
    <w:rsid w:val="0026424E"/>
    <w:rsid w:val="002675F0"/>
    <w:rsid w:val="00276EE4"/>
    <w:rsid w:val="002A2397"/>
    <w:rsid w:val="002A2A03"/>
    <w:rsid w:val="002B6339"/>
    <w:rsid w:val="002D61E3"/>
    <w:rsid w:val="002E00EE"/>
    <w:rsid w:val="002E3933"/>
    <w:rsid w:val="002F4181"/>
    <w:rsid w:val="00301BA3"/>
    <w:rsid w:val="003172DC"/>
    <w:rsid w:val="00317588"/>
    <w:rsid w:val="0034052F"/>
    <w:rsid w:val="00342AC6"/>
    <w:rsid w:val="003534AA"/>
    <w:rsid w:val="0035462D"/>
    <w:rsid w:val="003765B8"/>
    <w:rsid w:val="003772E9"/>
    <w:rsid w:val="00396C5D"/>
    <w:rsid w:val="003A0483"/>
    <w:rsid w:val="003B3CE6"/>
    <w:rsid w:val="003B56B1"/>
    <w:rsid w:val="003C3971"/>
    <w:rsid w:val="003C5418"/>
    <w:rsid w:val="003C6A8C"/>
    <w:rsid w:val="003E7753"/>
    <w:rsid w:val="003F0C6B"/>
    <w:rsid w:val="003F15CD"/>
    <w:rsid w:val="003F6ACE"/>
    <w:rsid w:val="003F7606"/>
    <w:rsid w:val="00403E33"/>
    <w:rsid w:val="0041733B"/>
    <w:rsid w:val="00423334"/>
    <w:rsid w:val="004345EC"/>
    <w:rsid w:val="00463240"/>
    <w:rsid w:val="00464617"/>
    <w:rsid w:val="004673C1"/>
    <w:rsid w:val="004728B7"/>
    <w:rsid w:val="0047564A"/>
    <w:rsid w:val="00475AC6"/>
    <w:rsid w:val="004768DA"/>
    <w:rsid w:val="004819D5"/>
    <w:rsid w:val="004826A9"/>
    <w:rsid w:val="00491142"/>
    <w:rsid w:val="00493119"/>
    <w:rsid w:val="004A5608"/>
    <w:rsid w:val="004A5DB3"/>
    <w:rsid w:val="004B5C7F"/>
    <w:rsid w:val="004B77CC"/>
    <w:rsid w:val="004C15E6"/>
    <w:rsid w:val="004C1601"/>
    <w:rsid w:val="004D3578"/>
    <w:rsid w:val="004D5ADE"/>
    <w:rsid w:val="004E213A"/>
    <w:rsid w:val="004F0988"/>
    <w:rsid w:val="004F3340"/>
    <w:rsid w:val="004F3E3D"/>
    <w:rsid w:val="004F7DEF"/>
    <w:rsid w:val="00514735"/>
    <w:rsid w:val="005165AE"/>
    <w:rsid w:val="0053388B"/>
    <w:rsid w:val="00534BE5"/>
    <w:rsid w:val="00535773"/>
    <w:rsid w:val="00543E6C"/>
    <w:rsid w:val="00565087"/>
    <w:rsid w:val="00572E14"/>
    <w:rsid w:val="00594F57"/>
    <w:rsid w:val="005973BE"/>
    <w:rsid w:val="005A0CAB"/>
    <w:rsid w:val="005A5986"/>
    <w:rsid w:val="005A656C"/>
    <w:rsid w:val="005C5140"/>
    <w:rsid w:val="005D0924"/>
    <w:rsid w:val="005D2E01"/>
    <w:rsid w:val="005D7526"/>
    <w:rsid w:val="005E69AE"/>
    <w:rsid w:val="005F4A6F"/>
    <w:rsid w:val="00602AEA"/>
    <w:rsid w:val="006054D7"/>
    <w:rsid w:val="006073EA"/>
    <w:rsid w:val="00607E3C"/>
    <w:rsid w:val="00614FDF"/>
    <w:rsid w:val="00617BD2"/>
    <w:rsid w:val="00621584"/>
    <w:rsid w:val="00624566"/>
    <w:rsid w:val="006246A7"/>
    <w:rsid w:val="00625205"/>
    <w:rsid w:val="0062595A"/>
    <w:rsid w:val="0063543D"/>
    <w:rsid w:val="00647114"/>
    <w:rsid w:val="006528E0"/>
    <w:rsid w:val="00662106"/>
    <w:rsid w:val="00696222"/>
    <w:rsid w:val="006A2C3D"/>
    <w:rsid w:val="006A323F"/>
    <w:rsid w:val="006A7137"/>
    <w:rsid w:val="006B30D0"/>
    <w:rsid w:val="006C228A"/>
    <w:rsid w:val="006C3D95"/>
    <w:rsid w:val="006D7B72"/>
    <w:rsid w:val="006E5C86"/>
    <w:rsid w:val="0070349D"/>
    <w:rsid w:val="0070556D"/>
    <w:rsid w:val="007058E4"/>
    <w:rsid w:val="00713C44"/>
    <w:rsid w:val="00734A5B"/>
    <w:rsid w:val="0074026F"/>
    <w:rsid w:val="007429F6"/>
    <w:rsid w:val="00744E76"/>
    <w:rsid w:val="00745842"/>
    <w:rsid w:val="00746BF6"/>
    <w:rsid w:val="00752198"/>
    <w:rsid w:val="00753881"/>
    <w:rsid w:val="007551EB"/>
    <w:rsid w:val="00772FB5"/>
    <w:rsid w:val="00774DA4"/>
    <w:rsid w:val="00781F0F"/>
    <w:rsid w:val="007B22B1"/>
    <w:rsid w:val="007B5B39"/>
    <w:rsid w:val="007B600E"/>
    <w:rsid w:val="007C1DD8"/>
    <w:rsid w:val="007C7C70"/>
    <w:rsid w:val="007E5AE9"/>
    <w:rsid w:val="007F0F4A"/>
    <w:rsid w:val="007F3AE3"/>
    <w:rsid w:val="00801C2E"/>
    <w:rsid w:val="008028A4"/>
    <w:rsid w:val="0081106E"/>
    <w:rsid w:val="00812E0B"/>
    <w:rsid w:val="008140D1"/>
    <w:rsid w:val="0081535D"/>
    <w:rsid w:val="00820B25"/>
    <w:rsid w:val="00830747"/>
    <w:rsid w:val="00857DED"/>
    <w:rsid w:val="008768CA"/>
    <w:rsid w:val="00886D52"/>
    <w:rsid w:val="0089062C"/>
    <w:rsid w:val="008A3527"/>
    <w:rsid w:val="008A5F18"/>
    <w:rsid w:val="008A645A"/>
    <w:rsid w:val="008A7650"/>
    <w:rsid w:val="008C384C"/>
    <w:rsid w:val="008C494B"/>
    <w:rsid w:val="008C74C8"/>
    <w:rsid w:val="008D10CA"/>
    <w:rsid w:val="008E1DF8"/>
    <w:rsid w:val="008E7986"/>
    <w:rsid w:val="008F626A"/>
    <w:rsid w:val="0090271F"/>
    <w:rsid w:val="00902E23"/>
    <w:rsid w:val="0091018D"/>
    <w:rsid w:val="009114D7"/>
    <w:rsid w:val="0091348E"/>
    <w:rsid w:val="00917CCB"/>
    <w:rsid w:val="00921E71"/>
    <w:rsid w:val="00930919"/>
    <w:rsid w:val="00931971"/>
    <w:rsid w:val="00942EC2"/>
    <w:rsid w:val="00946157"/>
    <w:rsid w:val="0094625B"/>
    <w:rsid w:val="00952E04"/>
    <w:rsid w:val="00955390"/>
    <w:rsid w:val="00965947"/>
    <w:rsid w:val="00986DFB"/>
    <w:rsid w:val="009929FF"/>
    <w:rsid w:val="009A1EA1"/>
    <w:rsid w:val="009B0763"/>
    <w:rsid w:val="009B373D"/>
    <w:rsid w:val="009E536F"/>
    <w:rsid w:val="009F2B71"/>
    <w:rsid w:val="009F37B7"/>
    <w:rsid w:val="009F5E43"/>
    <w:rsid w:val="00A06AAF"/>
    <w:rsid w:val="00A10F02"/>
    <w:rsid w:val="00A13BCD"/>
    <w:rsid w:val="00A13C2E"/>
    <w:rsid w:val="00A14D3F"/>
    <w:rsid w:val="00A164B4"/>
    <w:rsid w:val="00A166C3"/>
    <w:rsid w:val="00A1761C"/>
    <w:rsid w:val="00A2000D"/>
    <w:rsid w:val="00A20472"/>
    <w:rsid w:val="00A26956"/>
    <w:rsid w:val="00A46291"/>
    <w:rsid w:val="00A46D40"/>
    <w:rsid w:val="00A536F4"/>
    <w:rsid w:val="00A53724"/>
    <w:rsid w:val="00A60A95"/>
    <w:rsid w:val="00A612AD"/>
    <w:rsid w:val="00A625A6"/>
    <w:rsid w:val="00A67816"/>
    <w:rsid w:val="00A7175A"/>
    <w:rsid w:val="00A73129"/>
    <w:rsid w:val="00A75621"/>
    <w:rsid w:val="00A82346"/>
    <w:rsid w:val="00A83518"/>
    <w:rsid w:val="00A92BA1"/>
    <w:rsid w:val="00A942D0"/>
    <w:rsid w:val="00AB5A96"/>
    <w:rsid w:val="00AC0150"/>
    <w:rsid w:val="00AC1EBB"/>
    <w:rsid w:val="00AC3CB2"/>
    <w:rsid w:val="00AC6BC6"/>
    <w:rsid w:val="00AC6D4C"/>
    <w:rsid w:val="00AD5F64"/>
    <w:rsid w:val="00AE3797"/>
    <w:rsid w:val="00AF42D4"/>
    <w:rsid w:val="00AF7AB0"/>
    <w:rsid w:val="00B150E6"/>
    <w:rsid w:val="00B15449"/>
    <w:rsid w:val="00B231E1"/>
    <w:rsid w:val="00B2629A"/>
    <w:rsid w:val="00B35505"/>
    <w:rsid w:val="00B4224D"/>
    <w:rsid w:val="00B42A9D"/>
    <w:rsid w:val="00B51CDC"/>
    <w:rsid w:val="00B574A0"/>
    <w:rsid w:val="00B64A22"/>
    <w:rsid w:val="00B71CB1"/>
    <w:rsid w:val="00B76FBB"/>
    <w:rsid w:val="00B863E2"/>
    <w:rsid w:val="00B93086"/>
    <w:rsid w:val="00BA19ED"/>
    <w:rsid w:val="00BA300B"/>
    <w:rsid w:val="00BA4B8D"/>
    <w:rsid w:val="00BB4BD2"/>
    <w:rsid w:val="00BC0F7D"/>
    <w:rsid w:val="00BE3255"/>
    <w:rsid w:val="00BF128E"/>
    <w:rsid w:val="00BF4C3B"/>
    <w:rsid w:val="00BF6A1B"/>
    <w:rsid w:val="00BF74A8"/>
    <w:rsid w:val="00C1496A"/>
    <w:rsid w:val="00C33079"/>
    <w:rsid w:val="00C358C6"/>
    <w:rsid w:val="00C36899"/>
    <w:rsid w:val="00C45231"/>
    <w:rsid w:val="00C51E29"/>
    <w:rsid w:val="00C54C23"/>
    <w:rsid w:val="00C575E9"/>
    <w:rsid w:val="00C70AC6"/>
    <w:rsid w:val="00C71DA1"/>
    <w:rsid w:val="00C72833"/>
    <w:rsid w:val="00C80F1D"/>
    <w:rsid w:val="00C87227"/>
    <w:rsid w:val="00C93F40"/>
    <w:rsid w:val="00CA3D0C"/>
    <w:rsid w:val="00CA4524"/>
    <w:rsid w:val="00CB0A5D"/>
    <w:rsid w:val="00CB272A"/>
    <w:rsid w:val="00CE0C93"/>
    <w:rsid w:val="00CE221C"/>
    <w:rsid w:val="00CE2F48"/>
    <w:rsid w:val="00CE6DD7"/>
    <w:rsid w:val="00CF20E3"/>
    <w:rsid w:val="00CF5D12"/>
    <w:rsid w:val="00CF65B5"/>
    <w:rsid w:val="00CF7163"/>
    <w:rsid w:val="00D03C06"/>
    <w:rsid w:val="00D309CC"/>
    <w:rsid w:val="00D463D6"/>
    <w:rsid w:val="00D46431"/>
    <w:rsid w:val="00D56A52"/>
    <w:rsid w:val="00D57972"/>
    <w:rsid w:val="00D675A9"/>
    <w:rsid w:val="00D738D6"/>
    <w:rsid w:val="00D755EB"/>
    <w:rsid w:val="00D823BC"/>
    <w:rsid w:val="00D8507E"/>
    <w:rsid w:val="00D87E00"/>
    <w:rsid w:val="00D9134D"/>
    <w:rsid w:val="00DA7A03"/>
    <w:rsid w:val="00DB11F3"/>
    <w:rsid w:val="00DB1818"/>
    <w:rsid w:val="00DB4052"/>
    <w:rsid w:val="00DB79F7"/>
    <w:rsid w:val="00DC0F78"/>
    <w:rsid w:val="00DC309B"/>
    <w:rsid w:val="00DC4A77"/>
    <w:rsid w:val="00DC4DA2"/>
    <w:rsid w:val="00DC56EB"/>
    <w:rsid w:val="00DD4C17"/>
    <w:rsid w:val="00DD52B7"/>
    <w:rsid w:val="00DE627F"/>
    <w:rsid w:val="00DF0098"/>
    <w:rsid w:val="00DF2B1F"/>
    <w:rsid w:val="00DF464B"/>
    <w:rsid w:val="00DF6189"/>
    <w:rsid w:val="00DF62CD"/>
    <w:rsid w:val="00E066B8"/>
    <w:rsid w:val="00E16509"/>
    <w:rsid w:val="00E2413E"/>
    <w:rsid w:val="00E337DC"/>
    <w:rsid w:val="00E40F69"/>
    <w:rsid w:val="00E44582"/>
    <w:rsid w:val="00E52814"/>
    <w:rsid w:val="00E61FCF"/>
    <w:rsid w:val="00E64596"/>
    <w:rsid w:val="00E72324"/>
    <w:rsid w:val="00E72ABE"/>
    <w:rsid w:val="00E74333"/>
    <w:rsid w:val="00E77645"/>
    <w:rsid w:val="00E91B77"/>
    <w:rsid w:val="00E96D1A"/>
    <w:rsid w:val="00E97CE5"/>
    <w:rsid w:val="00EA5123"/>
    <w:rsid w:val="00EC4847"/>
    <w:rsid w:val="00EC4A25"/>
    <w:rsid w:val="00EC5547"/>
    <w:rsid w:val="00EC55DC"/>
    <w:rsid w:val="00ED21B2"/>
    <w:rsid w:val="00EE48DB"/>
    <w:rsid w:val="00EE5AA7"/>
    <w:rsid w:val="00EF70F3"/>
    <w:rsid w:val="00F0055E"/>
    <w:rsid w:val="00F025A2"/>
    <w:rsid w:val="00F04712"/>
    <w:rsid w:val="00F06F13"/>
    <w:rsid w:val="00F07D83"/>
    <w:rsid w:val="00F10C13"/>
    <w:rsid w:val="00F164A5"/>
    <w:rsid w:val="00F21311"/>
    <w:rsid w:val="00F22EC7"/>
    <w:rsid w:val="00F2546F"/>
    <w:rsid w:val="00F325C8"/>
    <w:rsid w:val="00F36FBC"/>
    <w:rsid w:val="00F62AEB"/>
    <w:rsid w:val="00F63DD3"/>
    <w:rsid w:val="00F653B8"/>
    <w:rsid w:val="00F70647"/>
    <w:rsid w:val="00F7495C"/>
    <w:rsid w:val="00F87D29"/>
    <w:rsid w:val="00FA0FE9"/>
    <w:rsid w:val="00FA1266"/>
    <w:rsid w:val="00FA6317"/>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696222"/>
    <w:rPr>
      <w:lang w:eastAsia="en-US"/>
    </w:rPr>
  </w:style>
  <w:style w:type="paragraph" w:styleId="Caption">
    <w:name w:val="caption"/>
    <w:basedOn w:val="Normal"/>
    <w:next w:val="Normal"/>
    <w:unhideWhenUsed/>
    <w:qFormat/>
    <w:rsid w:val="007B5B39"/>
    <w:pPr>
      <w:spacing w:after="200"/>
    </w:pPr>
    <w:rPr>
      <w:i/>
      <w:iCs/>
      <w:color w:val="44546A"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E8AE-0CC4-8945-BED5-CD3185E5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8</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18</cp:revision>
  <cp:lastPrinted>2019-02-25T14:05:00Z</cp:lastPrinted>
  <dcterms:created xsi:type="dcterms:W3CDTF">2021-04-02T20:49:00Z</dcterms:created>
  <dcterms:modified xsi:type="dcterms:W3CDTF">2021-05-11T21:37:00Z</dcterms:modified>
  <cp:category/>
</cp:coreProperties>
</file>